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62A74" w14:textId="77777777" w:rsidR="00C76A58" w:rsidRDefault="00F04736">
      <w:pPr>
        <w:spacing w:before="400" w:after="500"/>
      </w:pPr>
      <w:r>
        <w:rPr>
          <w:noProof/>
        </w:rPr>
        <w:drawing>
          <wp:inline distT="0" distB="0" distL="0" distR="0" wp14:anchorId="2193B804" wp14:editId="3B072EAC">
            <wp:extent cx="2924175" cy="742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924175" cy="742950"/>
                    </a:xfrm>
                    <a:prstGeom prst="rect">
                      <a:avLst/>
                    </a:prstGeom>
                  </pic:spPr>
                </pic:pic>
              </a:graphicData>
            </a:graphic>
          </wp:inline>
        </w:drawing>
      </w:r>
    </w:p>
    <w:p w14:paraId="3CA76421" w14:textId="77777777" w:rsidR="00C76A58" w:rsidRDefault="00F04736">
      <w:pPr>
        <w:spacing w:before="800" w:after="120"/>
      </w:pPr>
      <w:r>
        <w:rPr>
          <w:rFonts w:ascii="Noto Sans Semibold" w:eastAsia="Noto Sans Semibold" w:hAnsi="Noto Sans Semibold" w:cs="Noto Sans Semibold"/>
          <w:b/>
          <w:bCs/>
          <w:color w:val="005563"/>
          <w:sz w:val="56"/>
          <w:szCs w:val="56"/>
        </w:rPr>
        <w:t>Supervised Machine Learning Engines, Part 1</w:t>
      </w:r>
    </w:p>
    <w:p w14:paraId="7CB92478" w14:textId="77777777" w:rsidR="00C76A58" w:rsidRDefault="00C76A58">
      <w:pPr>
        <w:pBdr>
          <w:bottom w:val="single" w:sz="18" w:space="8" w:color="F7941D"/>
        </w:pBdr>
        <w:spacing w:after="300"/>
      </w:pPr>
    </w:p>
    <w:p w14:paraId="65B911AB" w14:textId="77777777" w:rsidR="00C76A58" w:rsidRDefault="00F04736">
      <w:pPr>
        <w:spacing w:after="3200"/>
      </w:pPr>
      <w:proofErr w:type="spellStart"/>
      <w:r>
        <w:rPr>
          <w:i/>
          <w:iCs/>
          <w:color w:val="0080A8"/>
          <w:sz w:val="24"/>
          <w:szCs w:val="24"/>
        </w:rPr>
        <w:t>Ecourse</w:t>
      </w:r>
      <w:proofErr w:type="spellEnd"/>
      <w:r>
        <w:rPr>
          <w:i/>
          <w:iCs/>
          <w:color w:val="0080A8"/>
          <w:sz w:val="24"/>
          <w:szCs w:val="24"/>
        </w:rPr>
        <w:t xml:space="preserve"> Presentation - Cleaned Transcript</w:t>
      </w:r>
    </w:p>
    <w:p w14:paraId="07E7B38D" w14:textId="77777777" w:rsidR="00C76A58" w:rsidRDefault="00F04736">
      <w:r>
        <w:br w:type="page"/>
      </w:r>
    </w:p>
    <w:p w14:paraId="5EDFE750" w14:textId="77777777" w:rsidR="00C76A58" w:rsidRDefault="00F04736">
      <w:pPr>
        <w:pStyle w:val="Heading2"/>
        <w:spacing w:before="320" w:after="140"/>
      </w:pPr>
      <w:r>
        <w:rPr>
          <w:rFonts w:ascii="Noto Sans Semibold" w:eastAsia="Noto Sans Semibold" w:hAnsi="Noto Sans Semibold" w:cs="Noto Sans Semibold"/>
          <w:b/>
          <w:bCs/>
          <w:color w:val="0080A8"/>
          <w:sz w:val="30"/>
          <w:szCs w:val="30"/>
        </w:rPr>
        <w:lastRenderedPageBreak/>
        <w:t>[0:08] Session Overview</w:t>
      </w:r>
    </w:p>
    <w:p w14:paraId="4EB9BFA7" w14:textId="77777777" w:rsidR="00C76A58" w:rsidRDefault="00F04736">
      <w:pPr>
        <w:spacing w:after="160"/>
      </w:pPr>
      <w:r>
        <w:t xml:space="preserve">Part one of supervised learning engines defines the multi-layer </w:t>
      </w:r>
      <w:proofErr w:type="gramStart"/>
      <w:r>
        <w:t>perceptron</w:t>
      </w:r>
      <w:proofErr w:type="gramEnd"/>
      <w:r>
        <w:t xml:space="preserve">. The concept of </w:t>
      </w:r>
      <w:proofErr w:type="spellStart"/>
      <w:r>
        <w:t>hyperparameterization</w:t>
      </w:r>
      <w:proofErr w:type="spellEnd"/>
      <w:r>
        <w:t xml:space="preserve"> is also discussed, along with the importance of data types. Wireline log curves from the Stratton field in South Texas demonstrate one type of supervised machine learning, and visual performance metrics are used to gauge classification success.</w:t>
      </w:r>
    </w:p>
    <w:p w14:paraId="46FA5078" w14:textId="77777777" w:rsidR="00C76A58" w:rsidRDefault="00F04736">
      <w:pPr>
        <w:pStyle w:val="Heading2"/>
        <w:spacing w:before="320" w:after="140"/>
      </w:pPr>
      <w:r>
        <w:rPr>
          <w:rFonts w:ascii="Noto Sans Semibold" w:eastAsia="Noto Sans Semibold" w:hAnsi="Noto Sans Semibold" w:cs="Noto Sans Semibold"/>
          <w:b/>
          <w:bCs/>
          <w:color w:val="0080A8"/>
          <w:sz w:val="30"/>
          <w:szCs w:val="30"/>
        </w:rPr>
        <w:t>[0:46] From the Perceptron to the Multi-Layer Perceptron</w:t>
      </w:r>
    </w:p>
    <w:p w14:paraId="0BEDED87" w14:textId="77777777" w:rsidR="00C76A58" w:rsidRDefault="00F04736">
      <w:pPr>
        <w:spacing w:after="160"/>
      </w:pPr>
      <w:r>
        <w:t xml:space="preserve">One of the </w:t>
      </w:r>
      <w:proofErr w:type="gramStart"/>
      <w:r>
        <w:t>earliest machine</w:t>
      </w:r>
      <w:proofErr w:type="gramEnd"/>
      <w:r>
        <w:t xml:space="preserve"> learning algorithms was called a perceptron. The original </w:t>
      </w:r>
      <w:proofErr w:type="gramStart"/>
      <w:r>
        <w:t>perceptron</w:t>
      </w:r>
      <w:proofErr w:type="gramEnd"/>
      <w:r>
        <w:t xml:space="preserve"> had known issues - it could not handle certain logical conditions - which led to the development of the </w:t>
      </w:r>
      <w:r>
        <w:rPr>
          <w:b/>
          <w:bCs/>
          <w:color w:val="005563"/>
        </w:rPr>
        <w:t xml:space="preserve">multi-layer </w:t>
      </w:r>
      <w:proofErr w:type="gramStart"/>
      <w:r>
        <w:rPr>
          <w:b/>
          <w:bCs/>
          <w:color w:val="005563"/>
        </w:rPr>
        <w:t>perceptron</w:t>
      </w:r>
      <w:proofErr w:type="gramEnd"/>
      <w:r>
        <w:rPr>
          <w:b/>
          <w:bCs/>
          <w:color w:val="005563"/>
        </w:rPr>
        <w:t xml:space="preserve"> (MLP)</w:t>
      </w:r>
      <w:r>
        <w:t>.</w:t>
      </w:r>
    </w:p>
    <w:p w14:paraId="41BE1707" w14:textId="77777777" w:rsidR="00C76A58" w:rsidRDefault="00F04736">
      <w:pPr>
        <w:spacing w:after="160"/>
      </w:pPr>
      <w:r>
        <w:t xml:space="preserve">An MLP is a feed-forward neural network with at least three layers (possibly more): an </w:t>
      </w:r>
      <w:r>
        <w:rPr>
          <w:b/>
          <w:bCs/>
          <w:color w:val="005563"/>
        </w:rPr>
        <w:t>input layer</w:t>
      </w:r>
      <w:r>
        <w:t xml:space="preserve">, one or more </w:t>
      </w:r>
      <w:r>
        <w:rPr>
          <w:b/>
          <w:bCs/>
          <w:color w:val="005563"/>
        </w:rPr>
        <w:t>hidden layers</w:t>
      </w:r>
      <w:r>
        <w:t xml:space="preserve">, and an </w:t>
      </w:r>
      <w:r>
        <w:rPr>
          <w:b/>
          <w:bCs/>
          <w:color w:val="005563"/>
        </w:rPr>
        <w:t>output layer</w:t>
      </w:r>
      <w:r>
        <w:t>. All layers in an MLP are fully connected. Neuron strength is a summation of all synapse values, modified by the activation function - it either trips into a classification, or it does not.</w:t>
      </w:r>
    </w:p>
    <w:p w14:paraId="34865038" w14:textId="77777777" w:rsidR="00C76A58" w:rsidRDefault="00F04736">
      <w:pPr>
        <w:pStyle w:val="Heading3"/>
        <w:spacing w:before="240" w:after="100"/>
      </w:pPr>
      <w:r>
        <w:rPr>
          <w:rFonts w:ascii="Noto Sans Semibold" w:eastAsia="Noto Sans Semibold" w:hAnsi="Noto Sans Semibold" w:cs="Noto Sans Semibold"/>
          <w:b/>
          <w:bCs/>
          <w:color w:val="005563"/>
        </w:rPr>
        <w:t>Backpropagation</w:t>
      </w:r>
    </w:p>
    <w:p w14:paraId="1FC044AB" w14:textId="77777777" w:rsidR="00C76A58" w:rsidRDefault="00F04736">
      <w:pPr>
        <w:spacing w:after="160"/>
      </w:pPr>
      <w:r>
        <w:t xml:space="preserve">Backpropagation is the process of taking the neural network's output, computing the error at the output, and propagating that error backward - through the last hidden layer, then the next-to-last hidden layer, and so on - </w:t>
      </w:r>
      <w:proofErr w:type="gramStart"/>
      <w:r>
        <w:t>making adjustments to</w:t>
      </w:r>
      <w:proofErr w:type="gramEnd"/>
      <w:r>
        <w:t xml:space="preserve"> the network's weights along the way. This was a fundamental breakthrough that let machine learning take a major leap forward in the range of problems and tasks it could solve. The multi-layer </w:t>
      </w:r>
      <w:proofErr w:type="gramStart"/>
      <w:r>
        <w:t>perceptron</w:t>
      </w:r>
      <w:proofErr w:type="gramEnd"/>
      <w:r>
        <w:t xml:space="preserve"> was the architectural breakthrough; backpropagation was the process that made training it possible.</w:t>
      </w:r>
    </w:p>
    <w:p w14:paraId="2E17232C" w14:textId="77777777" w:rsidR="00C76A58" w:rsidRDefault="00F04736">
      <w:pPr>
        <w:spacing w:after="160"/>
      </w:pPr>
      <w:r>
        <w:t>Errors are backpropagated through the layers, adjusting weights to minimize classification error - learning results from backpropagating the error from the output back toward the input layer.</w:t>
      </w:r>
    </w:p>
    <w:p w14:paraId="48AD1AA9" w14:textId="77777777" w:rsidR="00C76A58" w:rsidRDefault="00F04736">
      <w:pPr>
        <w:pStyle w:val="Heading3"/>
        <w:spacing w:before="240" w:after="100"/>
      </w:pPr>
      <w:proofErr w:type="spellStart"/>
      <w:r>
        <w:rPr>
          <w:rFonts w:ascii="Noto Sans Semibold" w:eastAsia="Noto Sans Semibold" w:hAnsi="Noto Sans Semibold" w:cs="Noto Sans Semibold"/>
          <w:b/>
          <w:bCs/>
          <w:color w:val="005563"/>
        </w:rPr>
        <w:t>Hyperparameterization</w:t>
      </w:r>
      <w:proofErr w:type="spellEnd"/>
    </w:p>
    <w:p w14:paraId="33E4B0C5" w14:textId="77777777" w:rsidR="00C76A58" w:rsidRDefault="00F04736">
      <w:pPr>
        <w:spacing w:after="160"/>
      </w:pPr>
      <w:r>
        <w:t xml:space="preserve">The multi-layer </w:t>
      </w:r>
      <w:proofErr w:type="gramStart"/>
      <w:r>
        <w:t>perceptron</w:t>
      </w:r>
      <w:proofErr w:type="gramEnd"/>
      <w:r>
        <w:t xml:space="preserve"> has many configuration choices: how many hidden layers, how many neurons per layer (not necessarily uniform - e.g., starting with 10 inputs and ending with one, two, or three classifications), which activation functions, and so on. </w:t>
      </w:r>
      <w:proofErr w:type="spellStart"/>
      <w:r>
        <w:rPr>
          <w:b/>
          <w:bCs/>
          <w:color w:val="005563"/>
        </w:rPr>
        <w:t>Hyperparameterization</w:t>
      </w:r>
      <w:proofErr w:type="spellEnd"/>
      <w:r>
        <w:t xml:space="preserve"> is a generalization of any machine learning process with a large number of training parameters to select - rather than manually twisting one configuration setting at a time and re-running the training repeatedly, </w:t>
      </w:r>
      <w:proofErr w:type="spellStart"/>
      <w:r>
        <w:t>hyperparameterization</w:t>
      </w:r>
      <w:proofErr w:type="spellEnd"/>
      <w:r>
        <w:t xml:space="preserve"> refers to a group of analytical tools used to help decide the appropriate number of parameters for a given set of training samples, without requiring manual involvement in that search process.</w:t>
      </w:r>
    </w:p>
    <w:p w14:paraId="675E3434" w14:textId="77777777" w:rsidR="00C76A58" w:rsidRDefault="00F04736">
      <w:pPr>
        <w:spacing w:after="160"/>
      </w:pPr>
      <w:r>
        <w:t>The appropriate hyperparameter search also depends heavily on the nature of the data - classifying dog faces is an entirely different problem from identifying good versus bad wells, and the nature of the data helps guide the hyperparameter search for the appropriate machine learning network.</w:t>
      </w:r>
    </w:p>
    <w:p w14:paraId="2405A967" w14:textId="77777777" w:rsidR="00C76A58" w:rsidRDefault="00F04736">
      <w:pPr>
        <w:pStyle w:val="Heading2"/>
        <w:spacing w:before="320" w:after="140"/>
      </w:pPr>
      <w:r>
        <w:rPr>
          <w:rFonts w:ascii="Noto Sans Semibold" w:eastAsia="Noto Sans Semibold" w:hAnsi="Noto Sans Semibold" w:cs="Noto Sans Semibold"/>
          <w:b/>
          <w:bCs/>
          <w:color w:val="0080A8"/>
          <w:sz w:val="30"/>
          <w:szCs w:val="30"/>
        </w:rPr>
        <w:t>[0:46] Example: The Stratton Field, South Texas</w:t>
      </w:r>
    </w:p>
    <w:p w14:paraId="08408739" w14:textId="77777777" w:rsidR="00C76A58" w:rsidRDefault="00F04736">
      <w:pPr>
        <w:spacing w:after="160"/>
      </w:pPr>
      <w:r>
        <w:t xml:space="preserve">Stratton Field </w:t>
      </w:r>
      <w:proofErr w:type="gramStart"/>
      <w:r>
        <w:t>is located in</w:t>
      </w:r>
      <w:proofErr w:type="gramEnd"/>
      <w:r>
        <w:t xml:space="preserve"> South Texas, a bit north of Corpus Christi (near Corpus Christi Bay). It is public data released by the Bureau of Economic Geology, State of Texas.</w:t>
      </w:r>
    </w:p>
    <w:p w14:paraId="2E904F07" w14:textId="77777777" w:rsidR="00C76A58" w:rsidRDefault="00F04736">
      <w:pPr>
        <w:pStyle w:val="Heading2"/>
        <w:spacing w:before="320" w:after="140"/>
      </w:pPr>
      <w:r>
        <w:rPr>
          <w:rFonts w:ascii="Noto Sans Semibold" w:eastAsia="Noto Sans Semibold" w:hAnsi="Noto Sans Semibold" w:cs="Noto Sans Semibold"/>
          <w:b/>
          <w:bCs/>
          <w:color w:val="0080A8"/>
          <w:sz w:val="30"/>
          <w:szCs w:val="30"/>
        </w:rPr>
        <w:lastRenderedPageBreak/>
        <w:t>[6:12] Wireline Log Lithofacies Classification</w:t>
      </w:r>
    </w:p>
    <w:p w14:paraId="713497A8" w14:textId="77777777" w:rsidR="00C76A58" w:rsidRDefault="00F04736">
      <w:pPr>
        <w:spacing w:after="160"/>
      </w:pPr>
      <w:r>
        <w:t xml:space="preserve">Stratton Field includes a 3D survey plus 21 sets of wireline logs across 21 wells. This example trains on a single well (BEG A, well 164 - "VEG Well A") and tests results on three other wells. The MLP runs on wireline logs (not the 3D survey), for </w:t>
      </w:r>
      <w:r>
        <w:rPr>
          <w:b/>
          <w:bCs/>
          <w:color w:val="005563"/>
        </w:rPr>
        <w:t>lithology prediction</w:t>
      </w:r>
      <w:r>
        <w:t>, with performance measured afterward.</w:t>
      </w:r>
    </w:p>
    <w:p w14:paraId="09AAF940" w14:textId="77777777" w:rsidR="00C76A58" w:rsidRDefault="00F04736">
      <w:pPr>
        <w:spacing w:after="160"/>
      </w:pPr>
      <w:r>
        <w:t xml:space="preserve">Three classes of log response are used, based on four log curves: </w:t>
      </w:r>
      <w:r>
        <w:rPr>
          <w:b/>
          <w:bCs/>
          <w:color w:val="005563"/>
        </w:rPr>
        <w:t>floodplain</w:t>
      </w:r>
      <w:r>
        <w:t xml:space="preserve">, </w:t>
      </w:r>
      <w:r>
        <w:rPr>
          <w:b/>
          <w:bCs/>
          <w:color w:val="005563"/>
        </w:rPr>
        <w:t>reservoir sand</w:t>
      </w:r>
      <w:r>
        <w:t xml:space="preserve">, and </w:t>
      </w:r>
      <w:r>
        <w:rPr>
          <w:b/>
          <w:bCs/>
          <w:color w:val="005563"/>
        </w:rPr>
        <w:t>tight sand</w:t>
      </w:r>
      <w:r>
        <w:t>. Training samples were manually picked as representative of each class - originally selected by a researcher named Odom, who published automated lithofacies classification work in 2009. Rather than debating individual picks, this example uses Odom's published classifications as the training samples.</w:t>
      </w:r>
    </w:p>
    <w:p w14:paraId="7F28D168" w14:textId="77777777" w:rsidR="00C76A58" w:rsidRDefault="00F04736">
      <w:pPr>
        <w:pStyle w:val="Heading3"/>
        <w:spacing w:before="240" w:after="100"/>
      </w:pPr>
      <w:r>
        <w:rPr>
          <w:rFonts w:ascii="Noto Sans Semibold" w:eastAsia="Noto Sans Semibold" w:hAnsi="Noto Sans Semibold" w:cs="Noto Sans Semibold"/>
          <w:b/>
          <w:bCs/>
          <w:color w:val="005563"/>
        </w:rPr>
        <w:t>Evaluating Classification Results: The Confusion Matrix</w:t>
      </w:r>
    </w:p>
    <w:p w14:paraId="5BF675B8" w14:textId="77777777" w:rsidR="00C76A58" w:rsidRDefault="00F04736">
      <w:pPr>
        <w:spacing w:after="160"/>
      </w:pPr>
      <w:r>
        <w:t xml:space="preserve">Since this is supervised learning, the correct answers for training samples are already known. Training itself minimizes an internal cost/error function, but evaluating the final, fully trained result requires a separate analysis step. The classical tool for this is the </w:t>
      </w:r>
      <w:r>
        <w:rPr>
          <w:b/>
          <w:bCs/>
          <w:color w:val="005563"/>
        </w:rPr>
        <w:t>confusion matrix</w:t>
      </w:r>
      <w:r>
        <w:t>.</w:t>
      </w:r>
    </w:p>
    <w:p w14:paraId="190F0643" w14:textId="77777777" w:rsidR="00C76A58" w:rsidRDefault="00F04736">
      <w:pPr>
        <w:spacing w:after="160"/>
      </w:pPr>
      <w:r>
        <w:t>Using a binary example (reservoir sand vs. not):</w:t>
      </w:r>
    </w:p>
    <w:p w14:paraId="706FF9D3" w14:textId="77777777" w:rsidR="00C76A58" w:rsidRDefault="00F04736">
      <w:pPr>
        <w:pStyle w:val="ListParagraph"/>
        <w:numPr>
          <w:ilvl w:val="0"/>
          <w:numId w:val="1"/>
        </w:numPr>
        <w:spacing w:after="80"/>
      </w:pPr>
      <w:r>
        <w:rPr>
          <w:b/>
          <w:bCs/>
          <w:color w:val="005563"/>
        </w:rPr>
        <w:t>True positive:</w:t>
      </w:r>
      <w:r>
        <w:t xml:space="preserve"> the training sample is truly a reservoir sand, and the model predicted reservoir sand.</w:t>
      </w:r>
    </w:p>
    <w:p w14:paraId="12D00A6B" w14:textId="77777777" w:rsidR="00C76A58" w:rsidRDefault="00F04736">
      <w:pPr>
        <w:pStyle w:val="ListParagraph"/>
        <w:numPr>
          <w:ilvl w:val="0"/>
          <w:numId w:val="1"/>
        </w:numPr>
        <w:spacing w:after="80"/>
      </w:pPr>
      <w:r>
        <w:rPr>
          <w:b/>
          <w:bCs/>
          <w:color w:val="005563"/>
        </w:rPr>
        <w:t>True negative:</w:t>
      </w:r>
      <w:r>
        <w:t xml:space="preserve"> the training sample is truly not a reservoir sand, and the model predicted not reservoir sand.</w:t>
      </w:r>
    </w:p>
    <w:p w14:paraId="522C5A9A" w14:textId="77777777" w:rsidR="00C76A58" w:rsidRDefault="00F04736">
      <w:pPr>
        <w:pStyle w:val="ListParagraph"/>
        <w:numPr>
          <w:ilvl w:val="0"/>
          <w:numId w:val="1"/>
        </w:numPr>
        <w:spacing w:after="80"/>
      </w:pPr>
      <w:r>
        <w:rPr>
          <w:b/>
          <w:bCs/>
          <w:color w:val="005563"/>
        </w:rPr>
        <w:t>False positive:</w:t>
      </w:r>
      <w:r>
        <w:t xml:space="preserve"> the model predicted reservoir sand, but the training sample was not actually reservoir sand.</w:t>
      </w:r>
    </w:p>
    <w:p w14:paraId="0A9C9479" w14:textId="77777777" w:rsidR="00C76A58" w:rsidRDefault="00F04736">
      <w:pPr>
        <w:pStyle w:val="ListParagraph"/>
        <w:numPr>
          <w:ilvl w:val="0"/>
          <w:numId w:val="1"/>
        </w:numPr>
        <w:spacing w:after="80"/>
      </w:pPr>
      <w:r>
        <w:rPr>
          <w:b/>
          <w:bCs/>
          <w:color w:val="005563"/>
        </w:rPr>
        <w:t>False negative:</w:t>
      </w:r>
      <w:r>
        <w:t xml:space="preserve"> the training sample was </w:t>
      </w:r>
      <w:proofErr w:type="gramStart"/>
      <w:r>
        <w:t>actually reservoir</w:t>
      </w:r>
      <w:proofErr w:type="gramEnd"/>
      <w:r>
        <w:t xml:space="preserve"> sand, but the model failed to predict it as such.</w:t>
      </w:r>
    </w:p>
    <w:p w14:paraId="33F8A738" w14:textId="77777777" w:rsidR="00C76A58" w:rsidRDefault="00F04736">
      <w:pPr>
        <w:pStyle w:val="Heading2"/>
        <w:spacing w:before="320" w:after="140"/>
      </w:pPr>
      <w:proofErr w:type="gramStart"/>
      <w:r>
        <w:rPr>
          <w:rFonts w:ascii="Noto Sans Semibold" w:eastAsia="Noto Sans Semibold" w:hAnsi="Noto Sans Semibold" w:cs="Noto Sans Semibold"/>
          <w:b/>
          <w:bCs/>
          <w:color w:val="0080A8"/>
          <w:sz w:val="30"/>
          <w:szCs w:val="30"/>
        </w:rPr>
        <w:t>[11:35] Why False Negatives</w:t>
      </w:r>
      <w:proofErr w:type="gramEnd"/>
      <w:r>
        <w:rPr>
          <w:rFonts w:ascii="Noto Sans Semibold" w:eastAsia="Noto Sans Semibold" w:hAnsi="Noto Sans Semibold" w:cs="Noto Sans Semibold"/>
          <w:b/>
          <w:bCs/>
          <w:color w:val="0080A8"/>
          <w:sz w:val="30"/>
          <w:szCs w:val="30"/>
        </w:rPr>
        <w:t xml:space="preserve"> Matter Just as Much as False Positives</w:t>
      </w:r>
    </w:p>
    <w:p w14:paraId="6533F133" w14:textId="77777777" w:rsidR="00C76A58" w:rsidRDefault="00F04736">
      <w:pPr>
        <w:spacing w:after="160"/>
      </w:pPr>
      <w:r>
        <w:t xml:space="preserve">A false positive leads to a costly mistake: the model </w:t>
      </w:r>
      <w:proofErr w:type="gramStart"/>
      <w:r>
        <w:t>says</w:t>
      </w:r>
      <w:proofErr w:type="gramEnd"/>
      <w:r>
        <w:t xml:space="preserve"> "reservoir sand," a well is drilled, and it turns out to be a tight sand (or tight shale) instead - money is lost directly.</w:t>
      </w:r>
    </w:p>
    <w:p w14:paraId="14B913E9" w14:textId="77777777" w:rsidR="00C76A58" w:rsidRDefault="00F04736">
      <w:pPr>
        <w:spacing w:after="160"/>
      </w:pPr>
      <w:r>
        <w:t xml:space="preserve">A false negative might seem less costly at first glance - the model simply missed a reservoir sand that was </w:t>
      </w:r>
      <w:proofErr w:type="gramStart"/>
      <w:r>
        <w:t>really there</w:t>
      </w:r>
      <w:proofErr w:type="gramEnd"/>
      <w:r>
        <w:t>. But in the prediction business, false negatives can be just as damaging: if you fail to identify a reservoir sand and relinquish your lease as a result, and another company then drills successfully on that same acreage, the missed opportunity is just as costly as a bad drilling decision.</w:t>
      </w:r>
    </w:p>
    <w:p w14:paraId="1B3D9814" w14:textId="77777777" w:rsidR="00C76A58" w:rsidRDefault="00F04736">
      <w:pPr>
        <w:spacing w:after="160"/>
      </w:pPr>
      <w:r>
        <w:t>A full confusion matrix table extends this analysis across multiple classes, tallying true positives, true negatives, false positives, and false negatives for each. (Credit to colleague Yvonne Marakwin for this slide format.)</w:t>
      </w:r>
    </w:p>
    <w:p w14:paraId="25000737" w14:textId="77777777" w:rsidR="00C76A58" w:rsidRDefault="00F04736">
      <w:pPr>
        <w:pStyle w:val="Heading2"/>
        <w:spacing w:before="320" w:after="140"/>
      </w:pPr>
      <w:r>
        <w:rPr>
          <w:rFonts w:ascii="Noto Sans Semibold" w:eastAsia="Noto Sans Semibold" w:hAnsi="Noto Sans Semibold" w:cs="Noto Sans Semibold"/>
          <w:b/>
          <w:bCs/>
          <w:color w:val="0080A8"/>
          <w:sz w:val="30"/>
          <w:szCs w:val="30"/>
        </w:rPr>
        <w:t>[11:35] Measuring Success: Precision, Recall, and F1</w:t>
      </w:r>
    </w:p>
    <w:p w14:paraId="0D219B8E" w14:textId="77777777" w:rsidR="00C76A58" w:rsidRDefault="00F04736">
      <w:pPr>
        <w:pStyle w:val="ListParagraph"/>
        <w:numPr>
          <w:ilvl w:val="0"/>
          <w:numId w:val="1"/>
        </w:numPr>
        <w:spacing w:after="80"/>
      </w:pPr>
      <w:r>
        <w:rPr>
          <w:b/>
          <w:bCs/>
          <w:color w:val="005563"/>
        </w:rPr>
        <w:t>Precision</w:t>
      </w:r>
      <w:r>
        <w:t xml:space="preserve"> = true positives / (true positives + false positives). The probability that a given classification is relevant.</w:t>
      </w:r>
    </w:p>
    <w:p w14:paraId="5D595081" w14:textId="77777777" w:rsidR="00C76A58" w:rsidRDefault="00F04736">
      <w:pPr>
        <w:pStyle w:val="ListParagraph"/>
        <w:numPr>
          <w:ilvl w:val="0"/>
          <w:numId w:val="1"/>
        </w:numPr>
        <w:spacing w:after="80"/>
      </w:pPr>
      <w:r>
        <w:rPr>
          <w:b/>
          <w:bCs/>
          <w:color w:val="005563"/>
        </w:rPr>
        <w:lastRenderedPageBreak/>
        <w:t>Recall</w:t>
      </w:r>
      <w:r>
        <w:t xml:space="preserve"> = true positives / (true positives + false negatives). The probability that a given classification is </w:t>
      </w:r>
      <w:proofErr w:type="gramStart"/>
      <w:r>
        <w:t>actually captured/available</w:t>
      </w:r>
      <w:proofErr w:type="gramEnd"/>
      <w:r>
        <w:t>.</w:t>
      </w:r>
    </w:p>
    <w:p w14:paraId="46724E5D" w14:textId="77777777" w:rsidR="00C76A58" w:rsidRDefault="00F04736">
      <w:pPr>
        <w:pStyle w:val="ListParagraph"/>
        <w:numPr>
          <w:ilvl w:val="0"/>
          <w:numId w:val="1"/>
        </w:numPr>
        <w:spacing w:after="80"/>
      </w:pPr>
      <w:r>
        <w:rPr>
          <w:b/>
          <w:bCs/>
          <w:color w:val="005563"/>
        </w:rPr>
        <w:t>F1</w:t>
      </w:r>
      <w:r>
        <w:t xml:space="preserve"> = a balanced combination of precision and recall.</w:t>
      </w:r>
    </w:p>
    <w:p w14:paraId="2A351609" w14:textId="77777777" w:rsidR="00C76A58" w:rsidRDefault="00F04736">
      <w:pPr>
        <w:pStyle w:val="Heading3"/>
        <w:spacing w:before="240" w:after="100"/>
      </w:pPr>
      <w:r>
        <w:rPr>
          <w:rFonts w:ascii="Noto Sans Semibold" w:eastAsia="Noto Sans Semibold" w:hAnsi="Noto Sans Semibold" w:cs="Noto Sans Semibold"/>
          <w:b/>
          <w:bCs/>
          <w:color w:val="005563"/>
        </w:rPr>
        <w:t>ROC Plots</w:t>
      </w:r>
    </w:p>
    <w:p w14:paraId="519B1F5A" w14:textId="77777777" w:rsidR="00C76A58" w:rsidRDefault="00F04736">
      <w:pPr>
        <w:spacing w:after="160"/>
      </w:pPr>
      <w:r>
        <w:t xml:space="preserve">A second way to evaluate classifier performance is the </w:t>
      </w:r>
      <w:r>
        <w:rPr>
          <w:b/>
          <w:bCs/>
          <w:color w:val="005563"/>
        </w:rPr>
        <w:t>ROC (receiver operating characteristic) plot</w:t>
      </w:r>
      <w:r>
        <w:t>, a concept dating back to World War II military work on detecting radar signals (was a given signal a true or false radar return?). An ROC plot graphs true positive probability against false positive probability for each class - one curve per predicted lithology, illustrating the trade-off between true positive and true negative rates. A random classifier would produce a curve lying along the diagonal; the goal is a curve well above that line.</w:t>
      </w:r>
    </w:p>
    <w:p w14:paraId="470E8F7E" w14:textId="77777777" w:rsidR="00C76A58" w:rsidRDefault="00F04736">
      <w:pPr>
        <w:spacing w:after="160"/>
      </w:pPr>
      <w:r>
        <w:rPr>
          <w:b/>
          <w:bCs/>
          <w:color w:val="005563"/>
        </w:rPr>
        <w:t>Area under the ROC curve</w:t>
      </w:r>
      <w:r>
        <w:t xml:space="preserve"> is </w:t>
      </w:r>
      <w:proofErr w:type="gramStart"/>
      <w:r>
        <w:t>a common</w:t>
      </w:r>
      <w:proofErr w:type="gramEnd"/>
      <w:r>
        <w:t xml:space="preserve"> summary statistic. In the worked example: class 1 (floodplain) had an area of 0.78, class 2 (reservoir sand) had 0.82, and class 3 (tight sand) had 0.85 - performance naturally varies by lithology, since each sample collection reflects an imperfect ("dirty") mixture relative to ground truth.</w:t>
      </w:r>
    </w:p>
    <w:p w14:paraId="14A3BFC6" w14:textId="77777777" w:rsidR="00C76A58" w:rsidRDefault="00F04736">
      <w:pPr>
        <w:pStyle w:val="Heading3"/>
        <w:spacing w:before="240" w:after="100"/>
      </w:pPr>
      <w:r>
        <w:rPr>
          <w:rFonts w:ascii="Noto Sans Semibold" w:eastAsia="Noto Sans Semibold" w:hAnsi="Noto Sans Semibold" w:cs="Noto Sans Semibold"/>
          <w:b/>
          <w:bCs/>
          <w:color w:val="005563"/>
        </w:rPr>
        <w:t>Confusion Pies</w:t>
      </w:r>
    </w:p>
    <w:p w14:paraId="6900D117" w14:textId="77777777" w:rsidR="00C76A58" w:rsidRDefault="00F04736">
      <w:pPr>
        <w:spacing w:after="160"/>
      </w:pPr>
      <w:r>
        <w:t>A further, more visual analysis tool - developed collaboratively and nicknamed "confusion pies" by the presenter and colleague Yvonne - represents each lithology as a circle divided into true positive (yellow), false positive (blue), and false negative (red) proportions. A larger yellow slice indicates better performance for that lithology.</w:t>
      </w:r>
    </w:p>
    <w:p w14:paraId="5F62481B" w14:textId="77777777" w:rsidR="00C76A58" w:rsidRDefault="00F04736">
      <w:pPr>
        <w:pStyle w:val="Heading2"/>
        <w:spacing w:before="320" w:after="140"/>
      </w:pPr>
      <w:r>
        <w:rPr>
          <w:rFonts w:ascii="Noto Sans Semibold" w:eastAsia="Noto Sans Semibold" w:hAnsi="Noto Sans Semibold" w:cs="Noto Sans Semibold"/>
          <w:b/>
          <w:bCs/>
          <w:color w:val="0080A8"/>
          <w:sz w:val="30"/>
          <w:szCs w:val="30"/>
        </w:rPr>
        <w:t>[16:51] Results at Different Training Sample Sizes</w:t>
      </w:r>
    </w:p>
    <w:p w14:paraId="58750B19" w14:textId="77777777" w:rsidR="00C76A58" w:rsidRDefault="00F04736">
      <w:pPr>
        <w:spacing w:after="160"/>
      </w:pPr>
      <w:r>
        <w:t>Using Odom's public classification as ground truth, an MLP was trained on wireline logs at three different training sample counts: 55, 212, and 527 samples.</w:t>
      </w:r>
    </w:p>
    <w:p w14:paraId="1D37AF60" w14:textId="77777777" w:rsidR="00C76A58" w:rsidRDefault="00F04736">
      <w:pPr>
        <w:pStyle w:val="ListParagraph"/>
        <w:numPr>
          <w:ilvl w:val="0"/>
          <w:numId w:val="1"/>
        </w:numPr>
        <w:spacing w:after="80"/>
      </w:pPr>
      <w:r>
        <w:t>With 527 samples (the largest set), the model did a reasonably good job matching sands overall, but still over-predicted reservoir sand in a few places - identifying reservoir sand where Odom's classification did not.</w:t>
      </w:r>
    </w:p>
    <w:p w14:paraId="7C4FC1ED" w14:textId="77777777" w:rsidR="00C76A58" w:rsidRDefault="00F04736">
      <w:pPr>
        <w:pStyle w:val="ListParagraph"/>
        <w:numPr>
          <w:ilvl w:val="0"/>
          <w:numId w:val="1"/>
        </w:numPr>
        <w:spacing w:after="80"/>
      </w:pPr>
      <w:r>
        <w:t>Results varied noticeably across the three sample sizes; the 212-sample run missed a thin sand entirely, while the largest sand bodies were generally predicted best across all three runs.</w:t>
      </w:r>
    </w:p>
    <w:p w14:paraId="1ACF88F3" w14:textId="77777777" w:rsidR="00C76A58" w:rsidRDefault="00F04736">
      <w:pPr>
        <w:pStyle w:val="Heading3"/>
        <w:spacing w:before="240" w:after="100"/>
      </w:pPr>
      <w:r>
        <w:rPr>
          <w:rFonts w:ascii="Noto Sans Semibold" w:eastAsia="Noto Sans Semibold" w:hAnsi="Noto Sans Semibold" w:cs="Noto Sans Semibold"/>
          <w:b/>
          <w:bCs/>
          <w:color w:val="005563"/>
        </w:rPr>
        <w:t>Confusion Pie Results by Training Size</w:t>
      </w:r>
    </w:p>
    <w:p w14:paraId="26C5A2D4" w14:textId="77777777" w:rsidR="00C76A58" w:rsidRDefault="00F04736">
      <w:pPr>
        <w:spacing w:after="160"/>
      </w:pPr>
      <w:r>
        <w:t>At 527 training samples: true positive rates were 83.3% for reservoir sand, 90.1% for tight sand, and 95.2% for floodplain - floodplain was predicted best, tight sand second, and reservoir sand had the lowest success rate, even with the largest training set available. With fewer training samples, false positive and false negative rates increased.</w:t>
      </w:r>
    </w:p>
    <w:p w14:paraId="07045C9C" w14:textId="77777777" w:rsidR="00C76A58" w:rsidRDefault="00F04736">
      <w:pPr>
        <w:spacing w:after="160"/>
      </w:pPr>
      <w:r>
        <w:t>A second set of results (different well/example) showed true positive rates of 87.9%, 85.5%, and 89.5% for reservoir sand across sample sizes - somewhat better performance than the first example, though with occasional issues matching the correct thickness of a sand body at lower sample counts.</w:t>
      </w:r>
    </w:p>
    <w:p w14:paraId="4D618BFC" w14:textId="77777777" w:rsidR="00C76A58" w:rsidRDefault="00F04736">
      <w:pPr>
        <w:pStyle w:val="Heading2"/>
        <w:spacing w:before="320" w:after="140"/>
      </w:pPr>
      <w:r>
        <w:rPr>
          <w:rFonts w:ascii="Noto Sans Semibold" w:eastAsia="Noto Sans Semibold" w:hAnsi="Noto Sans Semibold" w:cs="Noto Sans Semibold"/>
          <w:b/>
          <w:bCs/>
          <w:color w:val="0080A8"/>
          <w:sz w:val="30"/>
          <w:szCs w:val="30"/>
        </w:rPr>
        <w:t>[22:34] Summary</w:t>
      </w:r>
    </w:p>
    <w:p w14:paraId="32442F0B" w14:textId="77777777" w:rsidR="00C76A58" w:rsidRDefault="00F04736">
      <w:pPr>
        <w:spacing w:after="160"/>
      </w:pPr>
      <w:r>
        <w:lastRenderedPageBreak/>
        <w:t xml:space="preserve">The multi-layer </w:t>
      </w:r>
      <w:proofErr w:type="gramStart"/>
      <w:r>
        <w:t>perceptron</w:t>
      </w:r>
      <w:proofErr w:type="gramEnd"/>
      <w:r>
        <w:t xml:space="preserve"> is a well-established neural network architecture, and results shown here benefited from </w:t>
      </w:r>
      <w:proofErr w:type="spellStart"/>
      <w:r>
        <w:t>hyperparameterization</w:t>
      </w:r>
      <w:proofErr w:type="spellEnd"/>
      <w:r>
        <w:t xml:space="preserve"> - the search process controlling parameters such as the activation function, among others. Wireline log classification is an important starting point for calibrating machine learning results to seismic data. The next topic is deep learning - a currently prominent, highly successful type of supervised learning - including an example of how well it performs when applied to seismic data.</w:t>
      </w:r>
    </w:p>
    <w:p w14:paraId="7CCD936E" w14:textId="77777777" w:rsidR="00C76A58" w:rsidRDefault="00F04736">
      <w:pPr>
        <w:pStyle w:val="Heading2"/>
        <w:spacing w:before="320" w:after="140"/>
      </w:pPr>
      <w:r>
        <w:rPr>
          <w:rFonts w:ascii="Noto Sans Semibold" w:eastAsia="Noto Sans Semibold" w:hAnsi="Noto Sans Semibold" w:cs="Noto Sans Semibold"/>
          <w:b/>
          <w:bCs/>
          <w:color w:val="0080A8"/>
          <w:sz w:val="30"/>
          <w:szCs w:val="30"/>
        </w:rPr>
        <w:t>[26:37] Recap</w:t>
      </w:r>
    </w:p>
    <w:p w14:paraId="759DEC60" w14:textId="77777777" w:rsidR="00C76A58" w:rsidRDefault="00F04736">
      <w:pPr>
        <w:spacing w:after="160"/>
      </w:pPr>
      <w:r>
        <w:t xml:space="preserve">The importance of the number of training samples was illustrated in Part One, along with the quality of the training samples - "garbage in equals </w:t>
      </w:r>
      <w:proofErr w:type="gramStart"/>
      <w:r>
        <w:t>garbage out</w:t>
      </w:r>
      <w:proofErr w:type="gramEnd"/>
      <w:r>
        <w:t xml:space="preserve">" applies directly to machine learning, and training samples should be as clean as possible. The results based on well data demonstrate the benefits of </w:t>
      </w:r>
      <w:proofErr w:type="spellStart"/>
      <w:r>
        <w:t>hyperparameterization</w:t>
      </w:r>
      <w:proofErr w:type="spellEnd"/>
      <w:r>
        <w:t xml:space="preserve"> for supervised neural network learning.</w:t>
      </w:r>
    </w:p>
    <w:p w14:paraId="4682242C" w14:textId="77777777" w:rsidR="00C76A58" w:rsidRDefault="00C76A58">
      <w:pPr>
        <w:pBdr>
          <w:bottom w:val="single" w:sz="12" w:space="1" w:color="F7941D"/>
        </w:pBdr>
        <w:spacing w:before="120" w:after="240"/>
      </w:pPr>
    </w:p>
    <w:p w14:paraId="09B28B39" w14:textId="77777777" w:rsidR="00C76A58" w:rsidRDefault="00F04736">
      <w:pPr>
        <w:spacing w:after="200"/>
      </w:pPr>
      <w:r>
        <w:rPr>
          <w:i/>
          <w:iCs/>
          <w:color w:val="0080A8"/>
        </w:rPr>
        <w:t>Cleaned and lightly edited for readability.</w:t>
      </w:r>
    </w:p>
    <w:sectPr w:rsidR="00C76A58">
      <w:headerReference w:type="default" r:id="rId8"/>
      <w:footerReference w:type="default" r:id="rId9"/>
      <w:pgSz w:w="12240" w:h="15840"/>
      <w:pgMar w:top="1080" w:right="1260" w:bottom="1080" w:left="126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0B6A0B" w14:textId="77777777" w:rsidR="00F04736" w:rsidRDefault="00F04736">
      <w:r>
        <w:separator/>
      </w:r>
    </w:p>
  </w:endnote>
  <w:endnote w:type="continuationSeparator" w:id="0">
    <w:p w14:paraId="04857240" w14:textId="77777777" w:rsidR="00F04736" w:rsidRDefault="00F047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w:charset w:val="00"/>
    <w:family w:val="swiss"/>
    <w:pitch w:val="variable"/>
    <w:sig w:usb0="E00082FF" w:usb1="400078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Noto Sans Semibold">
    <w:altName w:val="Cambri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901F2" w14:textId="77777777" w:rsidR="00C76A58" w:rsidRDefault="00F04736">
    <w:pPr>
      <w:jc w:val="center"/>
    </w:pPr>
    <w:r>
      <w:rPr>
        <w:sz w:val="16"/>
        <w:szCs w:val="16"/>
      </w:rPr>
      <w:t xml:space="preserve">Page </w:t>
    </w:r>
    <w:r>
      <w:rPr>
        <w:sz w:val="16"/>
        <w:szCs w:val="16"/>
      </w:rPr>
      <w:fldChar w:fldCharType="begin"/>
    </w:r>
    <w:r>
      <w:rPr>
        <w:sz w:val="16"/>
        <w:szCs w:val="16"/>
      </w:rPr>
      <w:instrText>PAGE</w:instrText>
    </w:r>
    <w:r>
      <w:rPr>
        <w:sz w:val="16"/>
        <w:szCs w:val="16"/>
      </w:rPr>
      <w:fldChar w:fldCharType="separate"/>
    </w:r>
    <w:r w:rsidR="00AC0814">
      <w:rPr>
        <w:noProof/>
        <w:sz w:val="16"/>
        <w:szCs w:val="16"/>
      </w:rPr>
      <w:t>1</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D96CB" w14:textId="77777777" w:rsidR="00F04736" w:rsidRDefault="00F04736">
      <w:r>
        <w:separator/>
      </w:r>
    </w:p>
  </w:footnote>
  <w:footnote w:type="continuationSeparator" w:id="0">
    <w:p w14:paraId="304B19CC" w14:textId="77777777" w:rsidR="00F04736" w:rsidRDefault="00F047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28D40" w14:textId="77777777" w:rsidR="00C76A58" w:rsidRDefault="00F04736">
    <w:pPr>
      <w:pBdr>
        <w:bottom w:val="single" w:sz="6" w:space="4" w:color="F7941D"/>
      </w:pBdr>
      <w:jc w:val="right"/>
    </w:pPr>
    <w:r>
      <w:rPr>
        <w:rFonts w:ascii="Noto Sans Semibold" w:eastAsia="Noto Sans Semibold" w:hAnsi="Noto Sans Semibold" w:cs="Noto Sans Semibold"/>
        <w:b/>
        <w:bCs/>
        <w:color w:val="005563"/>
        <w:sz w:val="16"/>
        <w:szCs w:val="16"/>
      </w:rPr>
      <w:t>GEOPHYSICAL INSIGHTS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00DE5"/>
    <w:multiLevelType w:val="hybridMultilevel"/>
    <w:tmpl w:val="71CC2FC4"/>
    <w:lvl w:ilvl="0" w:tplc="F46C870E">
      <w:start w:val="1"/>
      <w:numFmt w:val="decimal"/>
      <w:lvlText w:val="%1."/>
      <w:lvlJc w:val="left"/>
      <w:pPr>
        <w:ind w:left="460" w:hanging="260"/>
      </w:pPr>
    </w:lvl>
    <w:lvl w:ilvl="1" w:tplc="96967E34">
      <w:numFmt w:val="decimal"/>
      <w:lvlText w:val=""/>
      <w:lvlJc w:val="left"/>
    </w:lvl>
    <w:lvl w:ilvl="2" w:tplc="1F62441A">
      <w:numFmt w:val="decimal"/>
      <w:lvlText w:val=""/>
      <w:lvlJc w:val="left"/>
    </w:lvl>
    <w:lvl w:ilvl="3" w:tplc="0FA46188">
      <w:numFmt w:val="decimal"/>
      <w:lvlText w:val=""/>
      <w:lvlJc w:val="left"/>
    </w:lvl>
    <w:lvl w:ilvl="4" w:tplc="31F6360E">
      <w:numFmt w:val="decimal"/>
      <w:lvlText w:val=""/>
      <w:lvlJc w:val="left"/>
    </w:lvl>
    <w:lvl w:ilvl="5" w:tplc="19CE39B2">
      <w:numFmt w:val="decimal"/>
      <w:lvlText w:val=""/>
      <w:lvlJc w:val="left"/>
    </w:lvl>
    <w:lvl w:ilvl="6" w:tplc="EC143EBE">
      <w:numFmt w:val="decimal"/>
      <w:lvlText w:val=""/>
      <w:lvlJc w:val="left"/>
    </w:lvl>
    <w:lvl w:ilvl="7" w:tplc="695A0266">
      <w:numFmt w:val="decimal"/>
      <w:lvlText w:val=""/>
      <w:lvlJc w:val="left"/>
    </w:lvl>
    <w:lvl w:ilvl="8" w:tplc="7C568EC2">
      <w:numFmt w:val="decimal"/>
      <w:lvlText w:val=""/>
      <w:lvlJc w:val="left"/>
    </w:lvl>
  </w:abstractNum>
  <w:abstractNum w:abstractNumId="1" w15:restartNumberingAfterBreak="0">
    <w:nsid w:val="6D50611E"/>
    <w:multiLevelType w:val="hybridMultilevel"/>
    <w:tmpl w:val="27A8B3E6"/>
    <w:lvl w:ilvl="0" w:tplc="316A09AA">
      <w:start w:val="1"/>
      <w:numFmt w:val="bullet"/>
      <w:lvlText w:val="●"/>
      <w:lvlJc w:val="left"/>
      <w:pPr>
        <w:ind w:left="720" w:hanging="360"/>
      </w:pPr>
    </w:lvl>
    <w:lvl w:ilvl="1" w:tplc="25629DE2">
      <w:start w:val="1"/>
      <w:numFmt w:val="bullet"/>
      <w:lvlText w:val="○"/>
      <w:lvlJc w:val="left"/>
      <w:pPr>
        <w:ind w:left="1440" w:hanging="360"/>
      </w:pPr>
    </w:lvl>
    <w:lvl w:ilvl="2" w:tplc="5EC418DE">
      <w:start w:val="1"/>
      <w:numFmt w:val="bullet"/>
      <w:lvlText w:val="■"/>
      <w:lvlJc w:val="left"/>
      <w:pPr>
        <w:ind w:left="2160" w:hanging="360"/>
      </w:pPr>
    </w:lvl>
    <w:lvl w:ilvl="3" w:tplc="68DC55F8">
      <w:start w:val="1"/>
      <w:numFmt w:val="bullet"/>
      <w:lvlText w:val="●"/>
      <w:lvlJc w:val="left"/>
      <w:pPr>
        <w:ind w:left="2880" w:hanging="360"/>
      </w:pPr>
    </w:lvl>
    <w:lvl w:ilvl="4" w:tplc="77BCC88A">
      <w:start w:val="1"/>
      <w:numFmt w:val="bullet"/>
      <w:lvlText w:val="○"/>
      <w:lvlJc w:val="left"/>
      <w:pPr>
        <w:ind w:left="3600" w:hanging="360"/>
      </w:pPr>
    </w:lvl>
    <w:lvl w:ilvl="5" w:tplc="101C6464">
      <w:start w:val="1"/>
      <w:numFmt w:val="bullet"/>
      <w:lvlText w:val="■"/>
      <w:lvlJc w:val="left"/>
      <w:pPr>
        <w:ind w:left="4320" w:hanging="360"/>
      </w:pPr>
    </w:lvl>
    <w:lvl w:ilvl="6" w:tplc="C54A3488">
      <w:start w:val="1"/>
      <w:numFmt w:val="bullet"/>
      <w:lvlText w:val="●"/>
      <w:lvlJc w:val="left"/>
      <w:pPr>
        <w:ind w:left="5040" w:hanging="360"/>
      </w:pPr>
    </w:lvl>
    <w:lvl w:ilvl="7" w:tplc="CCA212AE">
      <w:start w:val="1"/>
      <w:numFmt w:val="bullet"/>
      <w:lvlText w:val="●"/>
      <w:lvlJc w:val="left"/>
      <w:pPr>
        <w:ind w:left="5760" w:hanging="360"/>
      </w:pPr>
    </w:lvl>
    <w:lvl w:ilvl="8" w:tplc="04581F40">
      <w:start w:val="1"/>
      <w:numFmt w:val="bullet"/>
      <w:lvlText w:val="●"/>
      <w:lvlJc w:val="left"/>
      <w:pPr>
        <w:ind w:left="6480" w:hanging="360"/>
      </w:pPr>
    </w:lvl>
  </w:abstractNum>
  <w:num w:numId="1" w16cid:durableId="163501865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6A58"/>
    <w:rsid w:val="000B1CE4"/>
    <w:rsid w:val="00AC0814"/>
    <w:rsid w:val="00C76A58"/>
    <w:rsid w:val="00F047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71B10"/>
  <w15:docId w15:val="{C9395409-50DE-405F-ADCE-B5E9AEB78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oto Sans" w:eastAsia="Noto Sans" w:hAnsi="Noto Sans" w:cs="Noto Sans"/>
        <w:color w:val="404040"/>
        <w:sz w:val="21"/>
        <w:szCs w:val="2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B94C3D7D18404EB9EDA34C6F643902" ma:contentTypeVersion="15" ma:contentTypeDescription="Create a new document." ma:contentTypeScope="" ma:versionID="ca6ba3b48d9581b84c0de19bcc588663">
  <xsd:schema xmlns:xsd="http://www.w3.org/2001/XMLSchema" xmlns:xs="http://www.w3.org/2001/XMLSchema" xmlns:p="http://schemas.microsoft.com/office/2006/metadata/properties" xmlns:ns1="http://schemas.microsoft.com/sharepoint/v3" xmlns:ns2="a3793cd3-aa5e-49d4-8076-3e0ba460a571" xmlns:ns3="302211b4-3052-46c5-b506-1b7ac79c3352" targetNamespace="http://schemas.microsoft.com/office/2006/metadata/properties" ma:root="true" ma:fieldsID="7ebc9b5001758982902010b4b2617f7c" ns1:_="" ns2:_="" ns3:_="">
    <xsd:import namespace="http://schemas.microsoft.com/sharepoint/v3"/>
    <xsd:import namespace="a3793cd3-aa5e-49d4-8076-3e0ba460a571"/>
    <xsd:import namespace="302211b4-3052-46c5-b506-1b7ac79c335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793cd3-aa5e-49d4-8076-3e0ba460a5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061820c-3b27-4bf0-98ef-7304ee484e6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2211b4-3052-46c5-b506-1b7ac79c335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b368d5c-8a3e-4219-9b50-2a70c44fcf40}" ma:internalName="TaxCatchAll" ma:showField="CatchAllData" ma:web="302211b4-3052-46c5-b506-1b7ac79c33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302211b4-3052-46c5-b506-1b7ac79c3352" xsi:nil="true"/>
    <_ip_UnifiedCompliancePolicyProperties xmlns="http://schemas.microsoft.com/sharepoint/v3" xsi:nil="true"/>
    <lcf76f155ced4ddcb4097134ff3c332f xmlns="a3793cd3-aa5e-49d4-8076-3e0ba460a57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F975EDD-64AD-4242-8135-3712EFCD07DA}"/>
</file>

<file path=customXml/itemProps2.xml><?xml version="1.0" encoding="utf-8"?>
<ds:datastoreItem xmlns:ds="http://schemas.openxmlformats.org/officeDocument/2006/customXml" ds:itemID="{8EF4C961-98BD-4FBF-8B18-B36F59C3249A}"/>
</file>

<file path=customXml/itemProps3.xml><?xml version="1.0" encoding="utf-8"?>
<ds:datastoreItem xmlns:ds="http://schemas.openxmlformats.org/officeDocument/2006/customXml" ds:itemID="{842708AA-E1D3-419A-8F9A-C6C67D504C66}"/>
</file>

<file path=docProps/app.xml><?xml version="1.0" encoding="utf-8"?>
<Properties xmlns="http://schemas.openxmlformats.org/officeDocument/2006/extended-properties" xmlns:vt="http://schemas.openxmlformats.org/officeDocument/2006/docPropsVTypes">
  <Template>Normal.dotm</Template>
  <TotalTime>1</TotalTime>
  <Pages>5</Pages>
  <Words>1411</Words>
  <Characters>8048</Characters>
  <Application>Microsoft Office Word</Application>
  <DocSecurity>0</DocSecurity>
  <Lines>67</Lines>
  <Paragraphs>18</Paragraphs>
  <ScaleCrop>false</ScaleCrop>
  <Company/>
  <LinksUpToDate>false</LinksUpToDate>
  <CharactersWithSpaces>9441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Sarah Graviss</cp:lastModifiedBy>
  <cp:revision>2</cp:revision>
  <dcterms:created xsi:type="dcterms:W3CDTF">2026-08-04T20:24:00Z</dcterms:created>
  <dcterms:modified xsi:type="dcterms:W3CDTF">2026-08-04T20:24:00Z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0x010100CFB94C3D7D18404EB9EDA34C6F643902</vt:lpwstr>
  </property>
</Properties>
</file>