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DFFCF" w14:textId="77777777" w:rsidR="003D2692" w:rsidRDefault="00364014">
      <w:pPr>
        <w:spacing w:before="400" w:after="500"/>
      </w:pPr>
      <w:r>
        <w:rPr>
          <w:noProof/>
        </w:rPr>
        <w:drawing>
          <wp:inline distT="0" distB="0" distL="0" distR="0" wp14:anchorId="229EB594" wp14:editId="3DA8B44D">
            <wp:extent cx="2924175"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924175" cy="742950"/>
                    </a:xfrm>
                    <a:prstGeom prst="rect">
                      <a:avLst/>
                    </a:prstGeom>
                  </pic:spPr>
                </pic:pic>
              </a:graphicData>
            </a:graphic>
          </wp:inline>
        </w:drawing>
      </w:r>
    </w:p>
    <w:p w14:paraId="51CB8CAD" w14:textId="77777777" w:rsidR="003D2692" w:rsidRDefault="00364014">
      <w:pPr>
        <w:spacing w:before="800" w:after="120"/>
      </w:pPr>
      <w:r>
        <w:rPr>
          <w:rFonts w:ascii="Noto Sans Semibold" w:eastAsia="Noto Sans Semibold" w:hAnsi="Noto Sans Semibold" w:cs="Noto Sans Semibold"/>
          <w:b/>
          <w:bCs/>
          <w:color w:val="005563"/>
          <w:sz w:val="56"/>
          <w:szCs w:val="56"/>
        </w:rPr>
        <w:t>Stratton Field Case Study</w:t>
      </w:r>
    </w:p>
    <w:p w14:paraId="08E0B8F2" w14:textId="77777777" w:rsidR="003D2692" w:rsidRDefault="003D2692">
      <w:pPr>
        <w:pBdr>
          <w:bottom w:val="single" w:sz="18" w:space="8" w:color="F7941D"/>
        </w:pBdr>
        <w:spacing w:after="300"/>
      </w:pPr>
    </w:p>
    <w:p w14:paraId="3023C533" w14:textId="77777777" w:rsidR="003D2692" w:rsidRDefault="00364014">
      <w:pPr>
        <w:spacing w:after="3200"/>
      </w:pPr>
      <w:proofErr w:type="spellStart"/>
      <w:r>
        <w:rPr>
          <w:i/>
          <w:iCs/>
          <w:color w:val="0080A8"/>
          <w:sz w:val="24"/>
          <w:szCs w:val="24"/>
        </w:rPr>
        <w:t>Ecourse</w:t>
      </w:r>
      <w:proofErr w:type="spellEnd"/>
      <w:r>
        <w:rPr>
          <w:i/>
          <w:iCs/>
          <w:color w:val="0080A8"/>
          <w:sz w:val="24"/>
          <w:szCs w:val="24"/>
        </w:rPr>
        <w:t xml:space="preserve"> Presentation - Cleaned Transcript</w:t>
      </w:r>
    </w:p>
    <w:p w14:paraId="67511296" w14:textId="77777777" w:rsidR="003D2692" w:rsidRDefault="00364014">
      <w:r>
        <w:br w:type="page"/>
      </w:r>
    </w:p>
    <w:p w14:paraId="2C42F543" w14:textId="77777777" w:rsidR="003D2692" w:rsidRDefault="00364014">
      <w:pPr>
        <w:pStyle w:val="Heading2"/>
        <w:spacing w:before="320" w:after="140"/>
      </w:pPr>
      <w:r>
        <w:rPr>
          <w:rFonts w:ascii="Noto Sans Semibold" w:eastAsia="Noto Sans Semibold" w:hAnsi="Noto Sans Semibold" w:cs="Noto Sans Semibold"/>
          <w:b/>
          <w:bCs/>
          <w:color w:val="0080A8"/>
          <w:sz w:val="30"/>
          <w:szCs w:val="30"/>
        </w:rPr>
        <w:lastRenderedPageBreak/>
        <w:t>Overview</w:t>
      </w:r>
    </w:p>
    <w:p w14:paraId="1FC7CCFB" w14:textId="77777777" w:rsidR="003D2692" w:rsidRDefault="00364014">
      <w:pPr>
        <w:spacing w:after="160"/>
      </w:pPr>
      <w:r>
        <w:t xml:space="preserve">This session discusses the anatomy of a </w:t>
      </w:r>
      <w:proofErr w:type="spellStart"/>
      <w:r>
        <w:t>geobody</w:t>
      </w:r>
      <w:proofErr w:type="spellEnd"/>
      <w:r>
        <w:t xml:space="preserve">, including how it can be spatially broken down and characterized by shape, and how understanding </w:t>
      </w:r>
      <w:proofErr w:type="spellStart"/>
      <w:r>
        <w:t>geobody</w:t>
      </w:r>
      <w:proofErr w:type="spellEnd"/>
      <w:r>
        <w:t xml:space="preserve"> shapes can reveal additional information about the underlying data.</w:t>
      </w:r>
    </w:p>
    <w:p w14:paraId="4F0F7128" w14:textId="77777777" w:rsidR="003D2692" w:rsidRDefault="00364014">
      <w:pPr>
        <w:pStyle w:val="Heading2"/>
        <w:spacing w:before="320" w:after="140"/>
      </w:pPr>
      <w:proofErr w:type="gramStart"/>
      <w:r>
        <w:rPr>
          <w:rFonts w:ascii="Noto Sans Semibold" w:eastAsia="Noto Sans Semibold" w:hAnsi="Noto Sans Semibold" w:cs="Noto Sans Semibold"/>
          <w:b/>
          <w:bCs/>
          <w:color w:val="0080A8"/>
          <w:sz w:val="30"/>
          <w:szCs w:val="30"/>
        </w:rPr>
        <w:t>Probability</w:t>
      </w:r>
      <w:proofErr w:type="gramEnd"/>
      <w:r>
        <w:rPr>
          <w:rFonts w:ascii="Noto Sans Semibold" w:eastAsia="Noto Sans Semibold" w:hAnsi="Noto Sans Semibold" w:cs="Noto Sans Semibold"/>
          <w:b/>
          <w:bCs/>
          <w:color w:val="0080A8"/>
          <w:sz w:val="30"/>
          <w:szCs w:val="30"/>
        </w:rPr>
        <w:t xml:space="preserve"> Sampling in Practice: Money-Driven Bias</w:t>
      </w:r>
    </w:p>
    <w:p w14:paraId="1E74D94F" w14:textId="77777777" w:rsidR="003D2692" w:rsidRDefault="00364014">
      <w:pPr>
        <w:spacing w:after="160"/>
      </w:pPr>
      <w:r>
        <w:t>In practical oil and gas work, the most effective probability sampling is driven by money (dollars, euros, or pounds), which makes it intentionally biased. Wells are never drilled to sample the "average" or uniform properties of an area; they are drilled specifically to find anomalies, meaning well placement is inherently and appropriately biased toward the unusual rather than the ordinary. Balanced against this bias is the general statistical principle that more samples improve results, supporting more det</w:t>
      </w:r>
      <w:r>
        <w:t>ailed models and a better understanding of noise; the practical goal is to make the most of the fewest possible samples, choosing the next sample as efficiently as possible. Ultimately, probability of success (expressed through measures like P10, P50, and P90) is fundamental to communicating predictions to the people providing capital for exploration and development.</w:t>
      </w:r>
    </w:p>
    <w:p w14:paraId="03C17402" w14:textId="77777777" w:rsidR="003D2692" w:rsidRDefault="00364014">
      <w:pPr>
        <w:pStyle w:val="Heading2"/>
        <w:spacing w:before="320" w:after="140"/>
      </w:pPr>
      <w:r>
        <w:rPr>
          <w:rFonts w:ascii="Noto Sans Semibold" w:eastAsia="Noto Sans Semibold" w:hAnsi="Noto Sans Semibold" w:cs="Noto Sans Semibold"/>
          <w:b/>
          <w:bCs/>
          <w:color w:val="0080A8"/>
          <w:sz w:val="30"/>
          <w:szCs w:val="30"/>
        </w:rPr>
        <w:t>Sampling a 3D Survey for SOM Training</w:t>
      </w:r>
    </w:p>
    <w:p w14:paraId="2F8C2F11" w14:textId="77777777" w:rsidR="003D2692" w:rsidRDefault="00364014">
      <w:pPr>
        <w:spacing w:after="160"/>
      </w:pPr>
      <w:r>
        <w:t>Because a full 3D survey represents an enormous volume of multi-attribute data, some form of sampling for training is generally necessary rather than using the entire survey directly.</w:t>
      </w:r>
    </w:p>
    <w:p w14:paraId="2FF67DD0" w14:textId="77777777" w:rsidR="003D2692" w:rsidRDefault="00364014">
      <w:pPr>
        <w:pStyle w:val="Heading3"/>
        <w:spacing w:before="240" w:after="100"/>
      </w:pPr>
      <w:r>
        <w:rPr>
          <w:rFonts w:ascii="Noto Sans Semibold" w:eastAsia="Noto Sans Semibold" w:hAnsi="Noto Sans Semibold" w:cs="Noto Sans Semibold"/>
          <w:b/>
          <w:bCs/>
          <w:color w:val="005563"/>
        </w:rPr>
        <w:t>Harvest Lines and Harvest Patches</w:t>
      </w:r>
    </w:p>
    <w:p w14:paraId="1E4557DA" w14:textId="77777777" w:rsidR="003D2692" w:rsidRDefault="00364014">
      <w:pPr>
        <w:spacing w:after="160"/>
      </w:pPr>
      <w:r>
        <w:t>As originally proposed in early work with Terry Tanner and Sven Trichtel, SOM training samples can be selected using harvest lines (individual survey lines) or harvest patches (a modest number of adjacent lines, for example two to five lines wide). A separate SOM is trained on each harvest line or patch, and a harvest rule is then applied to select the preferred result among these trial runs, since the model derived from one of them will ultimately be used to classify the entire 3D survey. Because harvest l</w:t>
      </w:r>
      <w:r>
        <w:t>ines can vary in length depending on where they intersect the survey's boundary polygon, this variation must be accounted for when selecting and comparing harvest lines or patches.</w:t>
      </w:r>
    </w:p>
    <w:p w14:paraId="6547FE04" w14:textId="77777777" w:rsidR="003D2692" w:rsidRDefault="00364014">
      <w:pPr>
        <w:pStyle w:val="Heading3"/>
        <w:spacing w:before="240" w:after="100"/>
      </w:pPr>
      <w:r>
        <w:rPr>
          <w:rFonts w:ascii="Noto Sans Semibold" w:eastAsia="Noto Sans Semibold" w:hAnsi="Noto Sans Semibold" w:cs="Noto Sans Semibold"/>
          <w:b/>
          <w:bCs/>
          <w:color w:val="005563"/>
        </w:rPr>
        <w:t>Harvest Rules</w:t>
      </w:r>
    </w:p>
    <w:p w14:paraId="15E8C5A9" w14:textId="77777777" w:rsidR="003D2692" w:rsidRDefault="00364014">
      <w:pPr>
        <w:spacing w:after="160"/>
      </w:pPr>
      <w:r>
        <w:t>Five harvest rules were described for selecting the preferred trial SOM among several harvest-line or harvest-patch runs:</w:t>
      </w:r>
    </w:p>
    <w:p w14:paraId="1DF38E95" w14:textId="77777777" w:rsidR="003D2692" w:rsidRDefault="00364014">
      <w:pPr>
        <w:pStyle w:val="ListParagraph"/>
        <w:numPr>
          <w:ilvl w:val="0"/>
          <w:numId w:val="2"/>
        </w:numPr>
        <w:spacing w:after="80"/>
      </w:pPr>
      <w:r>
        <w:rPr>
          <w:b/>
          <w:bCs/>
          <w:color w:val="005563"/>
        </w:rPr>
        <w:t>Best fit:</w:t>
      </w:r>
      <w:r>
        <w:t xml:space="preserve"> the harvest line or patch whose trained SOM produces the smallest overall error.</w:t>
      </w:r>
    </w:p>
    <w:p w14:paraId="23B1A7B9" w14:textId="77777777" w:rsidR="003D2692" w:rsidRDefault="00364014">
      <w:pPr>
        <w:pStyle w:val="ListParagraph"/>
        <w:numPr>
          <w:ilvl w:val="0"/>
          <w:numId w:val="2"/>
        </w:numPr>
        <w:spacing w:after="80"/>
      </w:pPr>
      <w:r>
        <w:rPr>
          <w:b/>
          <w:bCs/>
          <w:color w:val="005563"/>
        </w:rPr>
        <w:t>Best learning:</w:t>
      </w:r>
      <w:r>
        <w:t xml:space="preserve"> the harvest line or patch whose SOM shows the greatest relative reduction in error from its initial to final state (accounting for the fact that different harvest lines can start with different initial error levels).</w:t>
      </w:r>
    </w:p>
    <w:p w14:paraId="717C2385" w14:textId="77777777" w:rsidR="003D2692" w:rsidRDefault="00364014">
      <w:pPr>
        <w:pStyle w:val="ListParagraph"/>
        <w:numPr>
          <w:ilvl w:val="0"/>
          <w:numId w:val="2"/>
        </w:numPr>
        <w:spacing w:after="80"/>
      </w:pPr>
      <w:r>
        <w:rPr>
          <w:b/>
          <w:bCs/>
          <w:color w:val="005563"/>
        </w:rPr>
        <w:t>Best coverage:</w:t>
      </w:r>
      <w:r>
        <w:t xml:space="preserve"> the harvest line or patch whose trial classification (applied just to its own training samples) yields the smallest percentage of low-probability (poorly fitting) samples.</w:t>
      </w:r>
    </w:p>
    <w:p w14:paraId="426B91D0" w14:textId="77777777" w:rsidR="003D2692" w:rsidRDefault="00364014">
      <w:pPr>
        <w:pStyle w:val="ListParagraph"/>
        <w:numPr>
          <w:ilvl w:val="0"/>
          <w:numId w:val="2"/>
        </w:numPr>
        <w:spacing w:after="80"/>
      </w:pPr>
      <w:r>
        <w:rPr>
          <w:b/>
          <w:bCs/>
          <w:color w:val="005563"/>
        </w:rPr>
        <w:t>Best of the best:</w:t>
      </w:r>
      <w:r>
        <w:t xml:space="preserve"> all winning neurons from every harvest line or patch are pooled together, and a new SOM is trained on just that pooled set of winning neurons, producing a consolidated "harvest of harvests" result.</w:t>
      </w:r>
    </w:p>
    <w:p w14:paraId="33C5B301" w14:textId="77777777" w:rsidR="003D2692" w:rsidRDefault="00364014">
      <w:pPr>
        <w:pStyle w:val="ListParagraph"/>
        <w:numPr>
          <w:ilvl w:val="0"/>
          <w:numId w:val="2"/>
        </w:numPr>
        <w:spacing w:after="80"/>
      </w:pPr>
      <w:r>
        <w:rPr>
          <w:b/>
          <w:bCs/>
          <w:color w:val="005563"/>
        </w:rPr>
        <w:lastRenderedPageBreak/>
        <w:t>Best distribution:</w:t>
      </w:r>
      <w:r>
        <w:t xml:space="preserve"> the harvest line or patch with the smallest maximum Euclidean distance from any winning neuron to its farthest associated sample.</w:t>
      </w:r>
    </w:p>
    <w:p w14:paraId="4270EA0E" w14:textId="77777777" w:rsidR="003D2692" w:rsidRDefault="00364014">
      <w:pPr>
        <w:pStyle w:val="Heading3"/>
        <w:spacing w:before="240" w:after="100"/>
      </w:pPr>
      <w:r>
        <w:rPr>
          <w:rFonts w:ascii="Noto Sans Semibold" w:eastAsia="Noto Sans Semibold" w:hAnsi="Noto Sans Semibold" w:cs="Noto Sans Semibold"/>
          <w:b/>
          <w:bCs/>
          <w:color w:val="005563"/>
        </w:rPr>
        <w:t>Random Bin Selection as an Alternative</w:t>
      </w:r>
    </w:p>
    <w:p w14:paraId="00CFF9E0" w14:textId="77777777" w:rsidR="003D2692" w:rsidRDefault="00364014">
      <w:pPr>
        <w:spacing w:after="160"/>
      </w:pPr>
      <w:r>
        <w:t>Rather than harvest lines, training samples can instead be selected by randomly choosing a percentage (for example, 5%) of bin locations within the survey's boundary polygon. Multiple independent random selections (five, eight, or ten separate 5% draws, for instance) can each be used to train a separate trial SOM, providing another basis for comparing candidate models.</w:t>
      </w:r>
    </w:p>
    <w:p w14:paraId="45B1B13C" w14:textId="77777777" w:rsidR="003D2692" w:rsidRDefault="00364014">
      <w:pPr>
        <w:spacing w:after="160"/>
      </w:pPr>
      <w:r>
        <w:t xml:space="preserve">Regardless of which selection method is used, once a final preferred set of trained winning neurons has been chosen, the entire 3D survey is classified using that final model. Classifying the full survey using an already-trained model is computationally fast; </w:t>
      </w:r>
      <w:proofErr w:type="gramStart"/>
      <w:r>
        <w:t>the majority of</w:t>
      </w:r>
      <w:proofErr w:type="gramEnd"/>
      <w:r>
        <w:t xml:space="preserve"> processing time is spent during the original unsupervised neural network training itself, not during the subsequent full-survey classification step.</w:t>
      </w:r>
    </w:p>
    <w:p w14:paraId="4CE920BE" w14:textId="77777777" w:rsidR="003D2692" w:rsidRDefault="00364014">
      <w:pPr>
        <w:pStyle w:val="Heading2"/>
        <w:spacing w:before="320" w:after="140"/>
      </w:pPr>
      <w:r>
        <w:rPr>
          <w:rFonts w:ascii="Noto Sans Semibold" w:eastAsia="Noto Sans Semibold" w:hAnsi="Noto Sans Semibold" w:cs="Noto Sans Semibold"/>
          <w:b/>
          <w:bCs/>
          <w:color w:val="0080A8"/>
          <w:sz w:val="30"/>
          <w:szCs w:val="30"/>
        </w:rPr>
        <w:t>Stratton Field Shape Classification Study</w:t>
      </w:r>
    </w:p>
    <w:p w14:paraId="2699E514" w14:textId="77777777" w:rsidR="003D2692" w:rsidRDefault="00364014">
      <w:pPr>
        <w:spacing w:after="160"/>
      </w:pPr>
      <w:r>
        <w:t xml:space="preserve">Using the Stratton Field public dataset (Bureau of Economic Geology, located in Kleberg and Nueces Counties, Texas), presented at a recent SEG convention in Anaheim, SOM was run over the Middle Frio zone (which contains the field's channel system), followed by </w:t>
      </w:r>
      <w:proofErr w:type="spellStart"/>
      <w:r>
        <w:t>geoscanning</w:t>
      </w:r>
      <w:proofErr w:type="spellEnd"/>
      <w:r>
        <w:t xml:space="preserve"> to collect individual </w:t>
      </w:r>
      <w:proofErr w:type="spellStart"/>
      <w:r>
        <w:t>geobodies</w:t>
      </w:r>
      <w:proofErr w:type="spellEnd"/>
      <w:r>
        <w:t xml:space="preserve"> for shape-based classification, intended to support seismic stratigraphic interpretation.</w:t>
      </w:r>
    </w:p>
    <w:p w14:paraId="78F5F1C0" w14:textId="77777777" w:rsidR="003D2692" w:rsidRDefault="00364014">
      <w:pPr>
        <w:pStyle w:val="Heading3"/>
        <w:spacing w:before="240" w:after="100"/>
      </w:pPr>
      <w:r>
        <w:rPr>
          <w:rFonts w:ascii="Noto Sans Semibold" w:eastAsia="Noto Sans Semibold" w:hAnsi="Noto Sans Semibold" w:cs="Noto Sans Semibold"/>
          <w:b/>
          <w:bCs/>
          <w:color w:val="005563"/>
        </w:rPr>
        <w:t xml:space="preserve">Defining </w:t>
      </w:r>
      <w:proofErr w:type="spellStart"/>
      <w:r>
        <w:rPr>
          <w:rFonts w:ascii="Noto Sans Semibold" w:eastAsia="Noto Sans Semibold" w:hAnsi="Noto Sans Semibold" w:cs="Noto Sans Semibold"/>
          <w:b/>
          <w:bCs/>
          <w:color w:val="005563"/>
        </w:rPr>
        <w:t>Geobody</w:t>
      </w:r>
      <w:proofErr w:type="spellEnd"/>
      <w:r>
        <w:rPr>
          <w:rFonts w:ascii="Noto Sans Semibold" w:eastAsia="Noto Sans Semibold" w:hAnsi="Noto Sans Semibold" w:cs="Noto Sans Semibold"/>
          <w:b/>
          <w:bCs/>
          <w:color w:val="005563"/>
        </w:rPr>
        <w:t xml:space="preserve"> Shape Properties</w:t>
      </w:r>
    </w:p>
    <w:p w14:paraId="0E484984" w14:textId="77777777" w:rsidR="003D2692" w:rsidRDefault="00364014">
      <w:pPr>
        <w:spacing w:after="160"/>
      </w:pPr>
      <w:r>
        <w:t xml:space="preserve">For each collected </w:t>
      </w:r>
      <w:proofErr w:type="spellStart"/>
      <w:r>
        <w:t>geobody</w:t>
      </w:r>
      <w:proofErr w:type="spellEnd"/>
      <w:r>
        <w:t xml:space="preserve"> (defined using six-point connectivity, or optionally 14- or 26-point connectivity, depending on whether corner and edge adjacency are included), three maximal planes are computed: the time-slice plane, inline plane, and </w:t>
      </w:r>
      <w:proofErr w:type="gramStart"/>
      <w:r>
        <w:t>cross-line</w:t>
      </w:r>
      <w:proofErr w:type="gramEnd"/>
      <w:r>
        <w:t xml:space="preserve"> plane, each identified as the specific slice through the </w:t>
      </w:r>
      <w:proofErr w:type="spellStart"/>
      <w:r>
        <w:t>geobody's</w:t>
      </w:r>
      <w:proofErr w:type="spellEnd"/>
      <w:r>
        <w:t xml:space="preserve"> bounding box containing the largest number of samples. From these three maximal planes, along with the sample counts and spatial ranges, the following </w:t>
      </w:r>
      <w:proofErr w:type="spellStart"/>
      <w:r>
        <w:t>geobody</w:t>
      </w:r>
      <w:proofErr w:type="spellEnd"/>
      <w:r>
        <w:t xml:space="preserve"> properties can be derived: the </w:t>
      </w:r>
      <w:proofErr w:type="spellStart"/>
      <w:r>
        <w:t>geobody's</w:t>
      </w:r>
      <w:proofErr w:type="spellEnd"/>
      <w:r>
        <w:t xml:space="preserve"> center</w:t>
      </w:r>
      <w:r>
        <w:t>, three maximal plane areas (map view, inline section, cross-line section), maximal plane lengths, vertical thickness, total sample count (</w:t>
      </w:r>
      <w:proofErr w:type="spellStart"/>
      <w:r>
        <w:t>geobody</w:t>
      </w:r>
      <w:proofErr w:type="spellEnd"/>
      <w:r>
        <w:t xml:space="preserve"> volume), interior sample count, "skin" sample count (total minus interior), and the ratio of </w:t>
      </w:r>
      <w:proofErr w:type="spellStart"/>
      <w:r>
        <w:t>geobody</w:t>
      </w:r>
      <w:proofErr w:type="spellEnd"/>
      <w:r>
        <w:t xml:space="preserve"> volume to its bounding-box volume.</w:t>
      </w:r>
    </w:p>
    <w:p w14:paraId="0638FCB0" w14:textId="77777777" w:rsidR="003D2692" w:rsidRDefault="00364014">
      <w:pPr>
        <w:pStyle w:val="Heading3"/>
        <w:spacing w:before="240" w:after="100"/>
      </w:pPr>
      <w:r>
        <w:rPr>
          <w:rFonts w:ascii="Noto Sans Semibold" w:eastAsia="Noto Sans Semibold" w:hAnsi="Noto Sans Semibold" w:cs="Noto Sans Semibold"/>
          <w:b/>
          <w:bCs/>
          <w:color w:val="005563"/>
        </w:rPr>
        <w:t>Shape Classification Rules</w:t>
      </w:r>
    </w:p>
    <w:p w14:paraId="53429419" w14:textId="77777777" w:rsidR="003D2692" w:rsidRDefault="00364014">
      <w:pPr>
        <w:spacing w:after="160"/>
      </w:pPr>
      <w:r>
        <w:t xml:space="preserve">A hierarchical, hand-picked set of classification rules was used to categorize each </w:t>
      </w:r>
      <w:proofErr w:type="spellStart"/>
      <w:r>
        <w:t>geobody</w:t>
      </w:r>
      <w:proofErr w:type="spellEnd"/>
      <w:r>
        <w:t xml:space="preserve"> by shape:</w:t>
      </w:r>
    </w:p>
    <w:p w14:paraId="3C386AB5" w14:textId="77777777" w:rsidR="003D2692" w:rsidRDefault="00364014">
      <w:pPr>
        <w:pStyle w:val="ListParagraph"/>
        <w:numPr>
          <w:ilvl w:val="0"/>
          <w:numId w:val="2"/>
        </w:numPr>
        <w:spacing w:after="80"/>
      </w:pPr>
      <w:r>
        <w:rPr>
          <w:b/>
          <w:bCs/>
          <w:color w:val="005563"/>
        </w:rPr>
        <w:t>Truncated:</w:t>
      </w:r>
      <w:r>
        <w:t xml:space="preserve"> the </w:t>
      </w:r>
      <w:proofErr w:type="spellStart"/>
      <w:r>
        <w:t>geobody</w:t>
      </w:r>
      <w:proofErr w:type="spellEnd"/>
      <w:r>
        <w:t xml:space="preserve"> touches the edge of the 3D survey in any direction (inline, </w:t>
      </w:r>
      <w:proofErr w:type="gramStart"/>
      <w:r>
        <w:t>cross-line</w:t>
      </w:r>
      <w:proofErr w:type="gramEnd"/>
      <w:r>
        <w:t>, or vertical/time); these are removed first, since their true shape cannot be determined from a truncated view.</w:t>
      </w:r>
    </w:p>
    <w:p w14:paraId="5B62839C" w14:textId="77777777" w:rsidR="003D2692" w:rsidRDefault="00364014">
      <w:pPr>
        <w:pStyle w:val="ListParagraph"/>
        <w:numPr>
          <w:ilvl w:val="0"/>
          <w:numId w:val="2"/>
        </w:numPr>
        <w:spacing w:after="80"/>
      </w:pPr>
      <w:r>
        <w:rPr>
          <w:b/>
          <w:bCs/>
          <w:color w:val="005563"/>
        </w:rPr>
        <w:t>Flat bar:</w:t>
      </w:r>
      <w:r>
        <w:t xml:space="preserve"> length in one direction is more than three times the length in the cross direction (a strongly elongated shape).</w:t>
      </w:r>
    </w:p>
    <w:p w14:paraId="6D5FDA0D" w14:textId="77777777" w:rsidR="003D2692" w:rsidRDefault="00364014">
      <w:pPr>
        <w:pStyle w:val="ListParagraph"/>
        <w:numPr>
          <w:ilvl w:val="0"/>
          <w:numId w:val="2"/>
        </w:numPr>
        <w:spacing w:after="80"/>
      </w:pPr>
      <w:r>
        <w:rPr>
          <w:b/>
          <w:bCs/>
          <w:color w:val="005563"/>
        </w:rPr>
        <w:t>Disk:</w:t>
      </w:r>
      <w:r>
        <w:t xml:space="preserve"> classified using area ratio criteria distinguishing a relatively flat, roughly equant shape.</w:t>
      </w:r>
    </w:p>
    <w:p w14:paraId="113D1186" w14:textId="77777777" w:rsidR="003D2692" w:rsidRDefault="00364014">
      <w:pPr>
        <w:pStyle w:val="ListParagraph"/>
        <w:numPr>
          <w:ilvl w:val="0"/>
          <w:numId w:val="2"/>
        </w:numPr>
        <w:spacing w:after="80"/>
      </w:pPr>
      <w:r>
        <w:rPr>
          <w:b/>
          <w:bCs/>
          <w:color w:val="005563"/>
        </w:rPr>
        <w:t>Sponge:</w:t>
      </w:r>
      <w:r>
        <w:t xml:space="preserve"> </w:t>
      </w:r>
      <w:proofErr w:type="spellStart"/>
      <w:r>
        <w:t>geobody</w:t>
      </w:r>
      <w:proofErr w:type="spellEnd"/>
      <w:r>
        <w:t xml:space="preserve"> volume exceeds three-tenths (30%) of its bounding-box volume.</w:t>
      </w:r>
    </w:p>
    <w:p w14:paraId="6ED5EB43" w14:textId="77777777" w:rsidR="003D2692" w:rsidRDefault="00364014">
      <w:pPr>
        <w:pStyle w:val="ListParagraph"/>
        <w:numPr>
          <w:ilvl w:val="0"/>
          <w:numId w:val="2"/>
        </w:numPr>
        <w:spacing w:after="80"/>
      </w:pPr>
      <w:r>
        <w:rPr>
          <w:b/>
          <w:bCs/>
          <w:color w:val="005563"/>
        </w:rPr>
        <w:t>Brick:</w:t>
      </w:r>
      <w:r>
        <w:t xml:space="preserve"> </w:t>
      </w:r>
      <w:proofErr w:type="spellStart"/>
      <w:r>
        <w:t>geobody</w:t>
      </w:r>
      <w:proofErr w:type="spellEnd"/>
      <w:r>
        <w:t xml:space="preserve"> volume is between roughly six-tenths (60%) and the sponge/brick boundary of its bounding-box volume, distinguishing bricks from sponges.</w:t>
      </w:r>
    </w:p>
    <w:p w14:paraId="1FAF6247" w14:textId="77777777" w:rsidR="003D2692" w:rsidRDefault="00364014">
      <w:pPr>
        <w:pStyle w:val="ListParagraph"/>
        <w:numPr>
          <w:ilvl w:val="0"/>
          <w:numId w:val="2"/>
        </w:numPr>
        <w:spacing w:after="80"/>
      </w:pPr>
      <w:r>
        <w:rPr>
          <w:b/>
          <w:bCs/>
          <w:color w:val="005563"/>
        </w:rPr>
        <w:lastRenderedPageBreak/>
        <w:t>Blob:</w:t>
      </w:r>
      <w:r>
        <w:t xml:space="preserve"> any </w:t>
      </w:r>
      <w:proofErr w:type="spellStart"/>
      <w:r>
        <w:t>geobody</w:t>
      </w:r>
      <w:proofErr w:type="spellEnd"/>
      <w:r>
        <w:t xml:space="preserve"> not matching the above categories, of unknown or irregular shape.</w:t>
      </w:r>
    </w:p>
    <w:p w14:paraId="2659F7DD" w14:textId="77777777" w:rsidR="003D2692" w:rsidRDefault="00364014">
      <w:pPr>
        <w:pStyle w:val="Heading3"/>
        <w:spacing w:before="240" w:after="100"/>
      </w:pPr>
      <w:r>
        <w:rPr>
          <w:rFonts w:ascii="Noto Sans Semibold" w:eastAsia="Noto Sans Semibold" w:hAnsi="Noto Sans Semibold" w:cs="Noto Sans Semibold"/>
          <w:b/>
          <w:bCs/>
          <w:color w:val="005563"/>
        </w:rPr>
        <w:t>Results in the Middle Frio Zone (Public Data, 1.2-1.6 Seconds)</w:t>
      </w:r>
    </w:p>
    <w:p w14:paraId="6486AA5B" w14:textId="77777777" w:rsidR="003D2692" w:rsidRDefault="00364014">
      <w:pPr>
        <w:spacing w:after="160"/>
      </w:pPr>
      <w:r>
        <w:t xml:space="preserve">Small </w:t>
      </w:r>
      <w:proofErr w:type="spellStart"/>
      <w:r>
        <w:t>geobodies</w:t>
      </w:r>
      <w:proofErr w:type="spellEnd"/>
      <w:r>
        <w:t xml:space="preserve"> (fewer than 100 samples) were excluded from shape classification, since they are too small to represent meaningful hydrocarbon targets; a histogram of these small </w:t>
      </w:r>
      <w:proofErr w:type="spellStart"/>
      <w:r>
        <w:t>geobodies</w:t>
      </w:r>
      <w:proofErr w:type="spellEnd"/>
      <w:r>
        <w:t xml:space="preserve"> showed roughly 1,195 single-sample </w:t>
      </w:r>
      <w:proofErr w:type="spellStart"/>
      <w:r>
        <w:t>geobodies</w:t>
      </w:r>
      <w:proofErr w:type="spellEnd"/>
      <w:r>
        <w:t xml:space="preserve">, with progressively fewer </w:t>
      </w:r>
      <w:proofErr w:type="spellStart"/>
      <w:r>
        <w:t>geobodies</w:t>
      </w:r>
      <w:proofErr w:type="spellEnd"/>
      <w:r>
        <w:t xml:space="preserve"> at each larger small-sample size (for example, roughly 150 to 180 two-sample </w:t>
      </w:r>
      <w:proofErr w:type="spellStart"/>
      <w:r>
        <w:t>geobodies</w:t>
      </w:r>
      <w:proofErr w:type="spellEnd"/>
      <w:r>
        <w:t>, and so on).</w:t>
      </w:r>
    </w:p>
    <w:p w14:paraId="1D42536E" w14:textId="77777777" w:rsidR="003D2692" w:rsidRDefault="00364014">
      <w:pPr>
        <w:spacing w:after="160"/>
      </w:pPr>
      <w:r>
        <w:t xml:space="preserve">Of the 768 </w:t>
      </w:r>
      <w:proofErr w:type="spellStart"/>
      <w:r>
        <w:t>geobodies</w:t>
      </w:r>
      <w:proofErr w:type="spellEnd"/>
      <w:r>
        <w:t xml:space="preserve"> larger than 100 samples: 706 were classified as disks, and 62 were non-disk shapes, further broken down as 26 bars, 8 sponges, 0 bricks, 8 truncations, and 20 unclassifiable blobs.</w:t>
      </w:r>
    </w:p>
    <w:p w14:paraId="14876BCB" w14:textId="77777777" w:rsidR="003D2692" w:rsidRDefault="00364014">
      <w:pPr>
        <w:spacing w:after="160"/>
      </w:pPr>
      <w:r>
        <w:t xml:space="preserve">Examining the disk-shaped </w:t>
      </w:r>
      <w:proofErr w:type="spellStart"/>
      <w:r>
        <w:t>geobodies</w:t>
      </w:r>
      <w:proofErr w:type="spellEnd"/>
      <w:r>
        <w:t xml:space="preserve"> across the survey showed relatively flat geometry above a regional unconformity, and somewhat dipping geometry (resembling bars in places) below it. The blob-shaped </w:t>
      </w:r>
      <w:proofErr w:type="spellStart"/>
      <w:r>
        <w:t>geobodies</w:t>
      </w:r>
      <w:proofErr w:type="spellEnd"/>
      <w:r>
        <w:t xml:space="preserve"> were mostly found dipping, below the unconformity, suggesting they may warrant further analysis to properly classify their shape. The bar-shaped </w:t>
      </w:r>
      <w:proofErr w:type="spellStart"/>
      <w:r>
        <w:t>geobodies</w:t>
      </w:r>
      <w:proofErr w:type="spellEnd"/>
      <w:r>
        <w:t>, largely located above the unconformity, ran in directions that appeared suspiciously aligned with (or perpendicular to) the survey's acquisition line orientation; closer i</w:t>
      </w:r>
      <w:r>
        <w:t xml:space="preserve">nspection identified some of these bar-shaped features as likely acquisition footprint artifacts rather than true geology, a reminder that not every </w:t>
      </w:r>
      <w:proofErr w:type="spellStart"/>
      <w:r>
        <w:t>geobody</w:t>
      </w:r>
      <w:proofErr w:type="spellEnd"/>
      <w:r>
        <w:t xml:space="preserve"> produced by this process is necessarily geologic. The truncated </w:t>
      </w:r>
      <w:proofErr w:type="spellStart"/>
      <w:r>
        <w:t>geobodies</w:t>
      </w:r>
      <w:proofErr w:type="spellEnd"/>
      <w:r>
        <w:t xml:space="preserve"> (too large to characterize fully, since they extend beyond the survey boundary) were found both above and below the unconformity, and in this dataset touched only the sides of the survey, not its top or bottom (time zero or below 2.5 seconds).</w:t>
      </w:r>
    </w:p>
    <w:p w14:paraId="2A3F1381" w14:textId="77777777" w:rsidR="003D2692" w:rsidRDefault="00364014">
      <w:pPr>
        <w:pStyle w:val="Heading2"/>
        <w:spacing w:before="320" w:after="140"/>
      </w:pPr>
      <w:r>
        <w:rPr>
          <w:rFonts w:ascii="Noto Sans Semibold" w:eastAsia="Noto Sans Semibold" w:hAnsi="Noto Sans Semibold" w:cs="Noto Sans Semibold"/>
          <w:b/>
          <w:bCs/>
          <w:color w:val="0080A8"/>
          <w:sz w:val="30"/>
          <w:szCs w:val="30"/>
        </w:rPr>
        <w:t>Summary</w:t>
      </w:r>
    </w:p>
    <w:p w14:paraId="50DBFDA6" w14:textId="77777777" w:rsidR="003D2692" w:rsidRDefault="00364014">
      <w:pPr>
        <w:spacing w:after="160"/>
      </w:pPr>
      <w:r>
        <w:t xml:space="preserve">This session covered how a </w:t>
      </w:r>
      <w:proofErr w:type="spellStart"/>
      <w:r>
        <w:t>geobody</w:t>
      </w:r>
      <w:proofErr w:type="spellEnd"/>
      <w:r>
        <w:t xml:space="preserve"> can be spatially characterized, including determining its maximum-area plane length and area, its overall volume, and the volume of its bounding box, all of which together determine which shape category a given </w:t>
      </w:r>
      <w:proofErr w:type="spellStart"/>
      <w:r>
        <w:t>geobody</w:t>
      </w:r>
      <w:proofErr w:type="spellEnd"/>
      <w:r>
        <w:t xml:space="preserve"> falls into. It also discussed how different </w:t>
      </w:r>
      <w:proofErr w:type="spellStart"/>
      <w:r>
        <w:t>geobody</w:t>
      </w:r>
      <w:proofErr w:type="spellEnd"/>
      <w:r>
        <w:t xml:space="preserve"> shapes can provide additional information about a reservoir, and how shape classification can help identify which </w:t>
      </w:r>
      <w:proofErr w:type="spellStart"/>
      <w:r>
        <w:t>geobodies</w:t>
      </w:r>
      <w:proofErr w:type="spellEnd"/>
      <w:r>
        <w:t xml:space="preserve"> are not useful for further analysis; for example, truncated </w:t>
      </w:r>
      <w:proofErr w:type="spellStart"/>
      <w:r>
        <w:t>geobodies</w:t>
      </w:r>
      <w:proofErr w:type="spellEnd"/>
      <w:r>
        <w:t xml:space="preserve"> are too large (extending beyond the sur</w:t>
      </w:r>
      <w:r>
        <w:t>vey boundary) to be meaningfully characterized and are therefore excluded from further shape-based analysis.</w:t>
      </w:r>
    </w:p>
    <w:sectPr w:rsidR="003D2692">
      <w:headerReference w:type="default" r:id="rId8"/>
      <w:footerReference w:type="default" r:id="rId9"/>
      <w:pgSz w:w="12240" w:h="15840"/>
      <w:pgMar w:top="1080" w:right="126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7D74C" w14:textId="77777777" w:rsidR="00364014" w:rsidRDefault="00364014">
      <w:r>
        <w:separator/>
      </w:r>
    </w:p>
  </w:endnote>
  <w:endnote w:type="continuationSeparator" w:id="0">
    <w:p w14:paraId="11CD81D5" w14:textId="77777777" w:rsidR="00364014" w:rsidRDefault="00364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emibold">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98329" w14:textId="77777777" w:rsidR="003D2692" w:rsidRDefault="00364014">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D03127">
      <w:rPr>
        <w:noProof/>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B6C3F" w14:textId="77777777" w:rsidR="00364014" w:rsidRDefault="00364014">
      <w:r>
        <w:separator/>
      </w:r>
    </w:p>
  </w:footnote>
  <w:footnote w:type="continuationSeparator" w:id="0">
    <w:p w14:paraId="46D4C1A5" w14:textId="77777777" w:rsidR="00364014" w:rsidRDefault="003640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E1B27" w14:textId="77777777" w:rsidR="003D2692" w:rsidRDefault="00364014">
    <w:pPr>
      <w:pBdr>
        <w:bottom w:val="single" w:sz="6" w:space="4" w:color="F7941D"/>
      </w:pBdr>
      <w:jc w:val="right"/>
    </w:pPr>
    <w:r>
      <w:rPr>
        <w:rFonts w:ascii="Noto Sans Semibold" w:eastAsia="Noto Sans Semibold" w:hAnsi="Noto Sans Semibold" w:cs="Noto Sans Semibold"/>
        <w:b/>
        <w:bCs/>
        <w:color w:val="005563"/>
        <w:sz w:val="16"/>
        <w:szCs w:val="16"/>
      </w:rPr>
      <w:t>GEOPHYSICAL INSIGHTS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8C3930"/>
    <w:multiLevelType w:val="hybridMultilevel"/>
    <w:tmpl w:val="26DAEF9A"/>
    <w:lvl w:ilvl="0" w:tplc="74F0B854">
      <w:start w:val="1"/>
      <w:numFmt w:val="bullet"/>
      <w:lvlText w:val="●"/>
      <w:lvlJc w:val="left"/>
      <w:pPr>
        <w:ind w:left="720" w:hanging="360"/>
      </w:pPr>
    </w:lvl>
    <w:lvl w:ilvl="1" w:tplc="0C068298">
      <w:start w:val="1"/>
      <w:numFmt w:val="bullet"/>
      <w:lvlText w:val="○"/>
      <w:lvlJc w:val="left"/>
      <w:pPr>
        <w:ind w:left="1440" w:hanging="360"/>
      </w:pPr>
    </w:lvl>
    <w:lvl w:ilvl="2" w:tplc="6F767446">
      <w:start w:val="1"/>
      <w:numFmt w:val="bullet"/>
      <w:lvlText w:val="■"/>
      <w:lvlJc w:val="left"/>
      <w:pPr>
        <w:ind w:left="2160" w:hanging="360"/>
      </w:pPr>
    </w:lvl>
    <w:lvl w:ilvl="3" w:tplc="07C8BF18">
      <w:start w:val="1"/>
      <w:numFmt w:val="bullet"/>
      <w:lvlText w:val="●"/>
      <w:lvlJc w:val="left"/>
      <w:pPr>
        <w:ind w:left="2880" w:hanging="360"/>
      </w:pPr>
    </w:lvl>
    <w:lvl w:ilvl="4" w:tplc="749E2E46">
      <w:start w:val="1"/>
      <w:numFmt w:val="bullet"/>
      <w:lvlText w:val="○"/>
      <w:lvlJc w:val="left"/>
      <w:pPr>
        <w:ind w:left="3600" w:hanging="360"/>
      </w:pPr>
    </w:lvl>
    <w:lvl w:ilvl="5" w:tplc="84D09980">
      <w:start w:val="1"/>
      <w:numFmt w:val="bullet"/>
      <w:lvlText w:val="■"/>
      <w:lvlJc w:val="left"/>
      <w:pPr>
        <w:ind w:left="4320" w:hanging="360"/>
      </w:pPr>
    </w:lvl>
    <w:lvl w:ilvl="6" w:tplc="6F72E322">
      <w:start w:val="1"/>
      <w:numFmt w:val="bullet"/>
      <w:lvlText w:val="●"/>
      <w:lvlJc w:val="left"/>
      <w:pPr>
        <w:ind w:left="5040" w:hanging="360"/>
      </w:pPr>
    </w:lvl>
    <w:lvl w:ilvl="7" w:tplc="3AE4C3CA">
      <w:start w:val="1"/>
      <w:numFmt w:val="bullet"/>
      <w:lvlText w:val="●"/>
      <w:lvlJc w:val="left"/>
      <w:pPr>
        <w:ind w:left="5760" w:hanging="360"/>
      </w:pPr>
    </w:lvl>
    <w:lvl w:ilvl="8" w:tplc="D95416D4">
      <w:start w:val="1"/>
      <w:numFmt w:val="bullet"/>
      <w:lvlText w:val="●"/>
      <w:lvlJc w:val="left"/>
      <w:pPr>
        <w:ind w:left="6480" w:hanging="360"/>
      </w:pPr>
    </w:lvl>
  </w:abstractNum>
  <w:abstractNum w:abstractNumId="1" w15:restartNumberingAfterBreak="0">
    <w:nsid w:val="5DE1598D"/>
    <w:multiLevelType w:val="hybridMultilevel"/>
    <w:tmpl w:val="598CE8D0"/>
    <w:lvl w:ilvl="0" w:tplc="0084FF3A">
      <w:start w:val="1"/>
      <w:numFmt w:val="decimal"/>
      <w:lvlText w:val="%1."/>
      <w:lvlJc w:val="left"/>
      <w:pPr>
        <w:ind w:left="460" w:hanging="260"/>
      </w:pPr>
    </w:lvl>
    <w:lvl w:ilvl="1" w:tplc="E5FA5C5E">
      <w:numFmt w:val="decimal"/>
      <w:lvlText w:val=""/>
      <w:lvlJc w:val="left"/>
    </w:lvl>
    <w:lvl w:ilvl="2" w:tplc="1A56D21A">
      <w:numFmt w:val="decimal"/>
      <w:lvlText w:val=""/>
      <w:lvlJc w:val="left"/>
    </w:lvl>
    <w:lvl w:ilvl="3" w:tplc="D0EEF578">
      <w:numFmt w:val="decimal"/>
      <w:lvlText w:val=""/>
      <w:lvlJc w:val="left"/>
    </w:lvl>
    <w:lvl w:ilvl="4" w:tplc="BE1CDEFC">
      <w:numFmt w:val="decimal"/>
      <w:lvlText w:val=""/>
      <w:lvlJc w:val="left"/>
    </w:lvl>
    <w:lvl w:ilvl="5" w:tplc="0E368590">
      <w:numFmt w:val="decimal"/>
      <w:lvlText w:val=""/>
      <w:lvlJc w:val="left"/>
    </w:lvl>
    <w:lvl w:ilvl="6" w:tplc="89F047D0">
      <w:numFmt w:val="decimal"/>
      <w:lvlText w:val=""/>
      <w:lvlJc w:val="left"/>
    </w:lvl>
    <w:lvl w:ilvl="7" w:tplc="5F28F1A4">
      <w:numFmt w:val="decimal"/>
      <w:lvlText w:val=""/>
      <w:lvlJc w:val="left"/>
    </w:lvl>
    <w:lvl w:ilvl="8" w:tplc="CF847482">
      <w:numFmt w:val="decimal"/>
      <w:lvlText w:val=""/>
      <w:lvlJc w:val="left"/>
    </w:lvl>
  </w:abstractNum>
  <w:num w:numId="1" w16cid:durableId="2017607579">
    <w:abstractNumId w:val="0"/>
    <w:lvlOverride w:ilvl="0">
      <w:startOverride w:val="1"/>
    </w:lvlOverride>
  </w:num>
  <w:num w:numId="2" w16cid:durableId="148531407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692"/>
    <w:rsid w:val="000B1CE4"/>
    <w:rsid w:val="00364014"/>
    <w:rsid w:val="003D2692"/>
    <w:rsid w:val="00D031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92D78"/>
  <w15:docId w15:val="{C9395409-50DE-405F-ADCE-B5E9AEB78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color w:val="404040"/>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B94C3D7D18404EB9EDA34C6F643902" ma:contentTypeVersion="15" ma:contentTypeDescription="Create a new document." ma:contentTypeScope="" ma:versionID="ca6ba3b48d9581b84c0de19bcc588663">
  <xsd:schema xmlns:xsd="http://www.w3.org/2001/XMLSchema" xmlns:xs="http://www.w3.org/2001/XMLSchema" xmlns:p="http://schemas.microsoft.com/office/2006/metadata/properties" xmlns:ns1="http://schemas.microsoft.com/sharepoint/v3" xmlns:ns2="a3793cd3-aa5e-49d4-8076-3e0ba460a571" xmlns:ns3="302211b4-3052-46c5-b506-1b7ac79c3352" targetNamespace="http://schemas.microsoft.com/office/2006/metadata/properties" ma:root="true" ma:fieldsID="7ebc9b5001758982902010b4b2617f7c" ns1:_="" ns2:_="" ns3:_="">
    <xsd:import namespace="http://schemas.microsoft.com/sharepoint/v3"/>
    <xsd:import namespace="a3793cd3-aa5e-49d4-8076-3e0ba460a571"/>
    <xsd:import namespace="302211b4-3052-46c5-b506-1b7ac79c33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793cd3-aa5e-49d4-8076-3e0ba460a5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61820c-3b27-4bf0-98ef-7304ee484e6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2211b4-3052-46c5-b506-1b7ac79c33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368d5c-8a3e-4219-9b50-2a70c44fcf40}" ma:internalName="TaxCatchAll" ma:showField="CatchAllData" ma:web="302211b4-3052-46c5-b506-1b7ac79c3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302211b4-3052-46c5-b506-1b7ac79c3352" xsi:nil="true"/>
    <_ip_UnifiedCompliancePolicyProperties xmlns="http://schemas.microsoft.com/sharepoint/v3" xsi:nil="true"/>
    <lcf76f155ced4ddcb4097134ff3c332f xmlns="a3793cd3-aa5e-49d4-8076-3e0ba460a57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ED870B0-A997-48E1-989E-D6F5086B1D8D}"/>
</file>

<file path=customXml/itemProps2.xml><?xml version="1.0" encoding="utf-8"?>
<ds:datastoreItem xmlns:ds="http://schemas.openxmlformats.org/officeDocument/2006/customXml" ds:itemID="{6A42C348-465C-439F-8903-EAF935DEC84C}"/>
</file>

<file path=customXml/itemProps3.xml><?xml version="1.0" encoding="utf-8"?>
<ds:datastoreItem xmlns:ds="http://schemas.openxmlformats.org/officeDocument/2006/customXml" ds:itemID="{FF1ED914-1CA4-4984-9F11-2DF9A87CFE24}"/>
</file>

<file path=docProps/app.xml><?xml version="1.0" encoding="utf-8"?>
<Properties xmlns="http://schemas.openxmlformats.org/officeDocument/2006/extended-properties" xmlns:vt="http://schemas.openxmlformats.org/officeDocument/2006/docPropsVTypes">
  <Template>Normal.dotm</Template>
  <TotalTime>0</TotalTime>
  <Pages>4</Pages>
  <Words>1267</Words>
  <Characters>7226</Characters>
  <Application>Microsoft Office Word</Application>
  <DocSecurity>0</DocSecurity>
  <Lines>60</Lines>
  <Paragraphs>16</Paragraphs>
  <ScaleCrop>false</ScaleCrop>
  <Company/>
  <LinksUpToDate>false</LinksUpToDate>
  <CharactersWithSpaces>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Sarah Graviss</cp:lastModifiedBy>
  <cp:revision>2</cp:revision>
  <dcterms:created xsi:type="dcterms:W3CDTF">2026-08-06T13:19:00Z</dcterms:created>
  <dcterms:modified xsi:type="dcterms:W3CDTF">2026-08-06T13:19:00Z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0x010100CFB94C3D7D18404EB9EDA34C6F643902</vt:lpwstr>
  </property>
</Properties>
</file>