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6501" w14:textId="77777777" w:rsidR="009833B6" w:rsidRDefault="00DC2F7D">
      <w:pPr>
        <w:spacing w:before="400" w:after="500"/>
      </w:pPr>
      <w:r>
        <w:rPr>
          <w:noProof/>
        </w:rPr>
        <w:drawing>
          <wp:inline distT="0" distB="0" distL="0" distR="0" wp14:anchorId="0CC644B0" wp14:editId="2D45DB7F">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6C65C37C" w14:textId="77777777" w:rsidR="009833B6" w:rsidRDefault="00DC2F7D">
      <w:pPr>
        <w:spacing w:before="800" w:after="120"/>
      </w:pPr>
      <w:r>
        <w:rPr>
          <w:rFonts w:ascii="Noto Sans Semibold" w:eastAsia="Noto Sans Semibold" w:hAnsi="Noto Sans Semibold" w:cs="Noto Sans Semibold"/>
          <w:b/>
          <w:bCs/>
          <w:color w:val="005563"/>
          <w:sz w:val="56"/>
          <w:szCs w:val="56"/>
        </w:rPr>
        <w:t>Sooner Field Reservoir Calculations, Part 2</w:t>
      </w:r>
    </w:p>
    <w:p w14:paraId="17094A16" w14:textId="77777777" w:rsidR="009833B6" w:rsidRDefault="009833B6">
      <w:pPr>
        <w:pBdr>
          <w:bottom w:val="single" w:sz="18" w:space="8" w:color="F7941D"/>
        </w:pBdr>
        <w:spacing w:after="300"/>
      </w:pPr>
    </w:p>
    <w:p w14:paraId="5A6BDFF8" w14:textId="77777777" w:rsidR="009833B6" w:rsidRDefault="00DC2F7D">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777C0CD9" w14:textId="77777777" w:rsidR="009833B6" w:rsidRDefault="00DC2F7D">
      <w:r>
        <w:br w:type="page"/>
      </w:r>
    </w:p>
    <w:p w14:paraId="6D05E647"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16601EF7" w14:textId="77777777" w:rsidR="009833B6" w:rsidRDefault="00DC2F7D">
      <w:pPr>
        <w:spacing w:after="160"/>
      </w:pPr>
      <w:r>
        <w:t xml:space="preserve">This session </w:t>
      </w:r>
      <w:proofErr w:type="gramStart"/>
      <w:r>
        <w:t>begins</w:t>
      </w:r>
      <w:proofErr w:type="gramEnd"/>
      <w:r>
        <w:t xml:space="preserve"> the discussion of </w:t>
      </w:r>
      <w:proofErr w:type="spellStart"/>
      <w:r>
        <w:t>geobodies</w:t>
      </w:r>
      <w:proofErr w:type="spellEnd"/>
      <w:r>
        <w:t xml:space="preserve"> created in the Sooner Field, then concludes with some basic reasoning behind designing a neural network that best fits a given problem.</w:t>
      </w:r>
    </w:p>
    <w:p w14:paraId="0090B63D"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 xml:space="preserve">Reservoir Volumetric Calculations from </w:t>
      </w:r>
      <w:proofErr w:type="spellStart"/>
      <w:r>
        <w:rPr>
          <w:rFonts w:ascii="Noto Sans Semibold" w:eastAsia="Noto Sans Semibold" w:hAnsi="Noto Sans Semibold" w:cs="Noto Sans Semibold"/>
          <w:b/>
          <w:bCs/>
          <w:color w:val="0080A8"/>
          <w:sz w:val="30"/>
          <w:szCs w:val="30"/>
        </w:rPr>
        <w:t>Geobodies</w:t>
      </w:r>
      <w:proofErr w:type="spellEnd"/>
    </w:p>
    <w:p w14:paraId="4AABE0BB" w14:textId="77777777" w:rsidR="009833B6" w:rsidRDefault="00DC2F7D">
      <w:pPr>
        <w:spacing w:after="160"/>
      </w:pPr>
      <w:r>
        <w:t xml:space="preserve">Every sample has a bin dimension and a time or depth thickness; with an estimate of velocity, time thickness can be converted to depth thickness. Summing these values across an interpreted </w:t>
      </w:r>
      <w:proofErr w:type="spellStart"/>
      <w:r>
        <w:t>geobody</w:t>
      </w:r>
      <w:proofErr w:type="spellEnd"/>
      <w:r>
        <w:t xml:space="preserve"> produces gross rock volume, net rock volume (gross rock volume times a supplied net-to-gross factor), and pore volume and hydrocarbon pore volume (using porosity and water saturation estimates). Together, these produce a reservoir volumetric model.</w:t>
      </w:r>
    </w:p>
    <w:p w14:paraId="3ED943F8"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The Sooner Field Example</w:t>
      </w:r>
    </w:p>
    <w:p w14:paraId="301164D3" w14:textId="77777777" w:rsidR="009833B6" w:rsidRDefault="00DC2F7D">
      <w:pPr>
        <w:spacing w:after="160"/>
      </w:pPr>
      <w:r>
        <w:t xml:space="preserve">Sooner Field, located in northeast Colorado, is a public dataset, with this evaluation performed by Sarah Stanley and Blaine Taylor. Using well logs alone, the productive area is bounded by a polygon of about 1,700 acres. Using </w:t>
      </w:r>
      <w:proofErr w:type="spellStart"/>
      <w:r>
        <w:t>geobodies</w:t>
      </w:r>
      <w:proofErr w:type="spellEnd"/>
      <w:r>
        <w:t xml:space="preserve"> derived from SOM analysis and </w:t>
      </w:r>
      <w:proofErr w:type="spellStart"/>
      <w:r>
        <w:t>geoscanning</w:t>
      </w:r>
      <w:proofErr w:type="spellEnd"/>
      <w:r>
        <w:t xml:space="preserve"> (winning neurons one through 14), the equivalent area is about 2,000 acres, extending notably farther to the northwest.</w:t>
      </w:r>
    </w:p>
    <w:p w14:paraId="2655C36D" w14:textId="77777777" w:rsidR="009833B6" w:rsidRDefault="00DC2F7D">
      <w:pPr>
        <w:spacing w:after="160"/>
      </w:pPr>
      <w:r>
        <w:t>A 3D view of the Sooner Field reservoir (the "</w:t>
      </w:r>
      <w:proofErr w:type="spellStart"/>
      <w:r>
        <w:t>Desand</w:t>
      </w:r>
      <w:proofErr w:type="spellEnd"/>
      <w:r>
        <w:t xml:space="preserve">," a Cretaceous-era reservoir sand unit in this dataset) shows the top surface with machine-learning-derived </w:t>
      </w:r>
      <w:proofErr w:type="spellStart"/>
      <w:r>
        <w:t>geobodies</w:t>
      </w:r>
      <w:proofErr w:type="spellEnd"/>
      <w:r>
        <w:t xml:space="preserve"> below it, along with a fault running through the survey. Inline 75 provides a north-south cross section showing the </w:t>
      </w:r>
      <w:proofErr w:type="spellStart"/>
      <w:r>
        <w:t>Desand</w:t>
      </w:r>
      <w:proofErr w:type="spellEnd"/>
      <w:r>
        <w:t xml:space="preserve"> sands breaking up to the north, continuing through the producing area, breaking again, and continuing farther south. The dataset includes 74 field wells and 32 producing wells.</w:t>
      </w:r>
    </w:p>
    <w:p w14:paraId="4336FF18" w14:textId="77777777" w:rsidR="009833B6" w:rsidRDefault="00DC2F7D">
      <w:pPr>
        <w:spacing w:after="160"/>
      </w:pPr>
      <w:r>
        <w:t xml:space="preserve">The reservoir </w:t>
      </w:r>
      <w:proofErr w:type="spellStart"/>
      <w:r>
        <w:t>geobody</w:t>
      </w:r>
      <w:proofErr w:type="spellEnd"/>
      <w:r>
        <w:t xml:space="preserve"> detail shows multiple layers of </w:t>
      </w:r>
      <w:proofErr w:type="gramStart"/>
      <w:r>
        <w:t>composited</w:t>
      </w:r>
      <w:proofErr w:type="gramEnd"/>
      <w:r>
        <w:t xml:space="preserve"> simple </w:t>
      </w:r>
      <w:proofErr w:type="spellStart"/>
      <w:r>
        <w:t>geobodies</w:t>
      </w:r>
      <w:proofErr w:type="spellEnd"/>
      <w:r>
        <w:t xml:space="preserve"> (winning neurons one through 14) that, when studied together, display clear geologic organization rather than a random, mottled pattern. Overlaying the 74 field wells with the picked </w:t>
      </w:r>
      <w:proofErr w:type="spellStart"/>
      <w:r>
        <w:t>geobody</w:t>
      </w:r>
      <w:proofErr w:type="spellEnd"/>
      <w:r>
        <w:t xml:space="preserve"> shows that producing wells correlate well with the picked </w:t>
      </w:r>
      <w:proofErr w:type="spellStart"/>
      <w:r>
        <w:t>geobody</w:t>
      </w:r>
      <w:proofErr w:type="spellEnd"/>
      <w:r>
        <w:t xml:space="preserve"> extent, and that production stayed south of the fault, with no production wells crossing it.</w:t>
      </w:r>
    </w:p>
    <w:p w14:paraId="2FE51509" w14:textId="77777777" w:rsidR="009833B6" w:rsidRDefault="00DC2F7D">
      <w:pPr>
        <w:spacing w:after="160"/>
      </w:pPr>
      <w:r>
        <w:t xml:space="preserve">Viewing the reservoir </w:t>
      </w:r>
      <w:proofErr w:type="spellStart"/>
      <w:r>
        <w:t>geobody</w:t>
      </w:r>
      <w:proofErr w:type="spellEnd"/>
      <w:r>
        <w:t xml:space="preserve"> from below (upside down, as if looking up at its underside) revealed a shape consistent with a depressed lacustrine (lake) deposit infilling a depression, transitioning through purple, blue, yellow, and red zones. This was interpreted as a shallow sand infill within a depression, consistent with the accepted geologic interpretation of the Sooner Field </w:t>
      </w:r>
      <w:proofErr w:type="spellStart"/>
      <w:r>
        <w:t>Desand</w:t>
      </w:r>
      <w:proofErr w:type="spellEnd"/>
      <w:r>
        <w:t>.</w:t>
      </w:r>
    </w:p>
    <w:p w14:paraId="0264C188" w14:textId="77777777" w:rsidR="009833B6" w:rsidRDefault="00DC2F7D">
      <w:pPr>
        <w:pStyle w:val="Heading3"/>
        <w:spacing w:before="240" w:after="100"/>
      </w:pPr>
      <w:r>
        <w:rPr>
          <w:rFonts w:ascii="Noto Sans Semibold" w:eastAsia="Noto Sans Semibold" w:hAnsi="Noto Sans Semibold" w:cs="Noto Sans Semibold"/>
          <w:b/>
          <w:bCs/>
          <w:color w:val="005563"/>
        </w:rPr>
        <w:t>Incremental Reserve Estimation Using Well Drilling Order</w:t>
      </w:r>
    </w:p>
    <w:p w14:paraId="6E6127EA" w14:textId="77777777" w:rsidR="009833B6" w:rsidRDefault="00DC2F7D">
      <w:pPr>
        <w:spacing w:after="160"/>
      </w:pPr>
      <w:r>
        <w:t xml:space="preserve">Using drilling dates for the 32 producing wells, Sarah Stanley and Blaine Taylor calculated standard stock tank barrel estimates for the field using only the first four wells drilled, then recalculated using the first eight, first sixteen, and all 32 wells, correcting for area differences at each step. Using only the first four wells (correcting for area) produced an estimate of about 29 million barrels. Because the underlying </w:t>
      </w:r>
      <w:proofErr w:type="spellStart"/>
      <w:r>
        <w:t>geobody</w:t>
      </w:r>
      <w:proofErr w:type="spellEnd"/>
      <w:r>
        <w:t xml:space="preserve"> samples themselves did not change (only the number of wells used for porosity and production log values changed), this demonstrates that reservoir calculations could, in principle, have been made using the </w:t>
      </w:r>
      <w:proofErr w:type="spellStart"/>
      <w:r>
        <w:t>geobodies</w:t>
      </w:r>
      <w:proofErr w:type="spellEnd"/>
      <w:r>
        <w:t xml:space="preserve"> alone even without any wells, then progressively refined as well data became available.</w:t>
      </w:r>
    </w:p>
    <w:p w14:paraId="20452DFA"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lastRenderedPageBreak/>
        <w:t>The Diffusion of a New Idea</w:t>
      </w:r>
    </w:p>
    <w:p w14:paraId="1901A4DE" w14:textId="77777777" w:rsidR="009833B6" w:rsidRDefault="00DC2F7D">
      <w:pPr>
        <w:spacing w:after="160"/>
      </w:pPr>
      <w:r>
        <w:t xml:space="preserve">A 1955 sociology paper, originally describing how farmers adopted a new agricultural chemical, described a general "diffusion of innovation" process applicable to any new idea, including machine learning in the oil and gas industry. The stages </w:t>
      </w:r>
      <w:proofErr w:type="gramStart"/>
      <w:r>
        <w:t>are:</w:t>
      </w:r>
      <w:proofErr w:type="gramEnd"/>
      <w:r>
        <w:t xml:space="preserve"> awareness, interest, evaluation, trial (early adopters, sometimes informally called "white knights," who champion new technology within an organization), adoption (implementation by a growing body of people), and finally standard practice. A minority of skeptics typically never adopt a new idea, regardless of its merits.</w:t>
      </w:r>
    </w:p>
    <w:p w14:paraId="6F1E9257" w14:textId="77777777" w:rsidR="009833B6" w:rsidRDefault="00DC2F7D">
      <w:pPr>
        <w:spacing w:after="160"/>
      </w:pPr>
      <w:r>
        <w:t>The 1955 paper's classic adoption curve plots cumulative percentage of industry adoption against time: innovators represent roughly 2 to 2.5%, early adopters roughly 15 to 16%, the early majority brings adoption to roughly 50%, the late majority takes it from 50% to roughly 80%, and laggards make up the remainder, with skeptics never adopting at all.</w:t>
      </w:r>
    </w:p>
    <w:p w14:paraId="02E10E91" w14:textId="77777777" w:rsidR="009833B6" w:rsidRDefault="00DC2F7D">
      <w:pPr>
        <w:spacing w:after="160"/>
      </w:pPr>
      <w:r>
        <w:t>Reflecting on a career in oil and gas beginning in 1971: color seismic displays and seismic attributes emerged together as new technologies early in that career; 3D seismic surveys became standard through the 1980s, eventually reaching the point where investors would not evaluate a prospect without a 3D survey (crossing into "late majority" adoption). Machine learning in seismic interpretation is understood to be earlier in this same adoption curve today.</w:t>
      </w:r>
    </w:p>
    <w:p w14:paraId="0EF88701"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Closing Reflections</w:t>
      </w:r>
    </w:p>
    <w:p w14:paraId="6F5FD8ED" w14:textId="77777777" w:rsidR="009833B6" w:rsidRDefault="00DC2F7D">
      <w:pPr>
        <w:spacing w:after="160"/>
      </w:pPr>
      <w:r>
        <w:t xml:space="preserve">Prediction is the central focus of geoscience work, and future predictions will increasingly be statistical in nature, generally resting on a limited number of samples or processing runs (the small-n problem discussed previously). New statistical tools, such as bagging and leave-one-out cross-validation, help address this problem and support better decisions than guesswork or simple analog reasoning. None of the results presented across this course applied full </w:t>
      </w:r>
      <w:proofErr w:type="gramStart"/>
      <w:r>
        <w:t>small-n</w:t>
      </w:r>
      <w:proofErr w:type="gramEnd"/>
      <w:r>
        <w:t xml:space="preserve"> cross-validation methodology; that level of rigor is described as still coming to the field, motivated by the ongoing need to guard against overfitting.</w:t>
      </w:r>
    </w:p>
    <w:p w14:paraId="4B11E958" w14:textId="77777777" w:rsidR="009833B6" w:rsidRDefault="00DC2F7D">
      <w:pPr>
        <w:spacing w:after="160"/>
      </w:pPr>
      <w:r>
        <w:t>Facing new technology like machine learning presents two unhelpful extremes: complacency (ignoring the change) and fear or dread (feeling threatened or left behind by it). A more productive framing treats the change as a continuous series of challenges to be engaged with using curiosity, given that (quoting Marshall McLuhan) "the answer is found in the problem." The current era is described as a fourth age of industrialization, the machine learning age, calling for geoscientists to deepen their understandin</w:t>
      </w:r>
      <w:r>
        <w:t>g of machine learning concepts without needing to become expert data scientists themselves, and to make room at the table for data scientists alongside geologists, geophysicists, and engineers.</w:t>
      </w:r>
    </w:p>
    <w:p w14:paraId="0931A884"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Designing Neural Networks: Gates and Attributes</w:t>
      </w:r>
    </w:p>
    <w:p w14:paraId="511A97BC" w14:textId="77777777" w:rsidR="009833B6" w:rsidRDefault="00DC2F7D">
      <w:pPr>
        <w:spacing w:after="160"/>
      </w:pPr>
      <w:r>
        <w:t xml:space="preserve">Deep learning platforms like TensorFlow are simply platforms; saying "we're using TensorFlow" says little on its own, since what matters is which specific network components are built on top of that platform. Convolutional neural networks and encoder-decoder </w:t>
      </w:r>
      <w:proofErr w:type="gramStart"/>
      <w:r>
        <w:t>architectures</w:t>
      </w:r>
      <w:proofErr w:type="gramEnd"/>
      <w:r>
        <w:t xml:space="preserve"> were both discussed earlier in this course; encoder-decoder architectures have the added benefit of being autoencoders, capable of self-discovering properties in data. Different neural network types (supervised, unsupervised) solve different problems, reinforcing the recurring guidance to start with the geologic question, not with the choice of algorithm.</w:t>
      </w:r>
    </w:p>
    <w:p w14:paraId="043BE197" w14:textId="77777777" w:rsidR="009833B6" w:rsidRDefault="00DC2F7D">
      <w:pPr>
        <w:spacing w:after="160"/>
      </w:pPr>
      <w:r>
        <w:lastRenderedPageBreak/>
        <w:t xml:space="preserve">Published, open-source deep learning algorithms have generally been developed and optimized for image-related tasks, and seismic data is not photographic image data; any success these architectures have in oil and gas interpretation is, to some extent, incidental. The neural network designer builds </w:t>
      </w:r>
      <w:proofErr w:type="gramStart"/>
      <w:r>
        <w:t>architectures</w:t>
      </w:r>
      <w:proofErr w:type="gramEnd"/>
      <w:r>
        <w:t xml:space="preserve"> based on generalizing from a catalog of training samples appropriate to the specific problem; bigger problems require more detailed, more expensive algorithms and larger data volumes. Autoencoders can surface "undiscovered generalizations" in data (for example, using additional attributes and well information beyond amplitude alone), but a key limitation is that autoencoders often cannot clearly explain what pattern they discovered, which is less problematic for tasks like image classification</w:t>
      </w:r>
      <w:r>
        <w:t xml:space="preserve"> (where results are visually obvious) than for more subtle seismic interpretation tasks. Off-the-shelf, open-source neural networks generally require modification to be applied effectively to seismic and other domain-specific data, since they are not natively optimized for it; future breakthroughs are anticipated in this optimization.</w:t>
      </w:r>
    </w:p>
    <w:p w14:paraId="084A0C9D" w14:textId="77777777" w:rsidR="009833B6" w:rsidRDefault="00DC2F7D">
      <w:pPr>
        <w:pStyle w:val="Heading3"/>
        <w:spacing w:before="240" w:after="100"/>
      </w:pPr>
      <w:r>
        <w:rPr>
          <w:rFonts w:ascii="Noto Sans Semibold" w:eastAsia="Noto Sans Semibold" w:hAnsi="Noto Sans Semibold" w:cs="Noto Sans Semibold"/>
          <w:b/>
          <w:bCs/>
          <w:color w:val="005563"/>
        </w:rPr>
        <w:t>Logic Gates as a Foundation for Neural Network Design</w:t>
      </w:r>
    </w:p>
    <w:p w14:paraId="1BD2A3B3" w14:textId="77777777" w:rsidR="009833B6" w:rsidRDefault="00DC2F7D">
      <w:pPr>
        <w:spacing w:after="160"/>
      </w:pPr>
      <w:r>
        <w:t>Understanding basic logic gates is foundational to designing neural networks:</w:t>
      </w:r>
    </w:p>
    <w:p w14:paraId="7ADEDA7F" w14:textId="77777777" w:rsidR="009833B6" w:rsidRDefault="00DC2F7D">
      <w:pPr>
        <w:pStyle w:val="ListParagraph"/>
        <w:numPr>
          <w:ilvl w:val="0"/>
          <w:numId w:val="1"/>
        </w:numPr>
        <w:spacing w:after="80"/>
      </w:pPr>
      <w:r>
        <w:rPr>
          <w:b/>
          <w:bCs/>
          <w:color w:val="005563"/>
        </w:rPr>
        <w:t>Logical AND:</w:t>
      </w:r>
      <w:r>
        <w:t xml:space="preserve"> output is "yes" only when both inputs are "yes."</w:t>
      </w:r>
    </w:p>
    <w:p w14:paraId="52713D7C" w14:textId="77777777" w:rsidR="009833B6" w:rsidRDefault="00DC2F7D">
      <w:pPr>
        <w:pStyle w:val="ListParagraph"/>
        <w:numPr>
          <w:ilvl w:val="0"/>
          <w:numId w:val="1"/>
        </w:numPr>
        <w:spacing w:after="80"/>
      </w:pPr>
      <w:r>
        <w:rPr>
          <w:b/>
          <w:bCs/>
          <w:color w:val="005563"/>
        </w:rPr>
        <w:t>Logical OR:</w:t>
      </w:r>
      <w:r>
        <w:t xml:space="preserve"> output is "yes" when either input (or both) is "yes."</w:t>
      </w:r>
    </w:p>
    <w:p w14:paraId="5D50A7EB" w14:textId="77777777" w:rsidR="009833B6" w:rsidRDefault="00DC2F7D">
      <w:pPr>
        <w:pStyle w:val="ListParagraph"/>
        <w:numPr>
          <w:ilvl w:val="0"/>
          <w:numId w:val="1"/>
        </w:numPr>
        <w:spacing w:after="80"/>
      </w:pPr>
      <w:r>
        <w:rPr>
          <w:b/>
          <w:bCs/>
          <w:color w:val="005563"/>
        </w:rPr>
        <w:t>Logical exclusive OR (XOR):</w:t>
      </w:r>
      <w:r>
        <w:t xml:space="preserve"> output is "yes" when exactly one input is "yes," but "no" when both are "yes" or both are "no."</w:t>
      </w:r>
    </w:p>
    <w:p w14:paraId="7A46D575" w14:textId="77777777" w:rsidR="009833B6" w:rsidRDefault="00DC2F7D">
      <w:pPr>
        <w:spacing w:after="160"/>
      </w:pPr>
      <w:r>
        <w:t xml:space="preserve">Geometrically, AND </w:t>
      </w:r>
      <w:proofErr w:type="spellStart"/>
      <w:r>
        <w:t>and</w:t>
      </w:r>
      <w:proofErr w:type="spellEnd"/>
      <w:r>
        <w:t xml:space="preserve"> OR can each be separated by a single straight decision boundary, but XOR requires two lines, since it is not solvable with a single linear boundary. Early </w:t>
      </w:r>
      <w:proofErr w:type="gramStart"/>
      <w:r>
        <w:t>perceptron</w:t>
      </w:r>
      <w:proofErr w:type="gramEnd"/>
      <w:r>
        <w:t xml:space="preserve">-based neural networks could not solve the XOR problem; it was resolved with the development of backpropagation, which allows errors in the network's output to be propagated back into hidden layers during training. Backpropagation and multilayer </w:t>
      </w:r>
      <w:proofErr w:type="spellStart"/>
      <w:r>
        <w:t>perceptrons</w:t>
      </w:r>
      <w:proofErr w:type="spellEnd"/>
      <w:r>
        <w:t xml:space="preserve"> are now freely available as open-source tools and do not need to be implemented from </w:t>
      </w:r>
      <w:r>
        <w:t>scratch, though understanding their basic concepts remains valuable.</w:t>
      </w:r>
    </w:p>
    <w:p w14:paraId="0A77E9B6" w14:textId="77777777" w:rsidR="009833B6" w:rsidRDefault="00DC2F7D">
      <w:pPr>
        <w:pStyle w:val="Heading3"/>
        <w:spacing w:before="240" w:after="100"/>
      </w:pPr>
      <w:r>
        <w:rPr>
          <w:rFonts w:ascii="Noto Sans Semibold" w:eastAsia="Noto Sans Semibold" w:hAnsi="Noto Sans Semibold" w:cs="Noto Sans Semibold"/>
          <w:b/>
          <w:bCs/>
          <w:color w:val="005563"/>
        </w:rPr>
        <w:t>Toward Logical Combinations of Attributes</w:t>
      </w:r>
    </w:p>
    <w:p w14:paraId="354D9680" w14:textId="77777777" w:rsidR="009833B6" w:rsidRDefault="00DC2F7D">
      <w:pPr>
        <w:spacing w:after="160"/>
      </w:pPr>
      <w:r>
        <w:t>The next level of sophistication in attribute selection may involve applying logical (Boolean) combinations of attributes directly: an AND-gate-style combination requiring both attribute one and attribute two to be present; an OR-gate-style combination allowing either (or both) attributes to be present; and an exclusive-OR-style combination requiring exactly one of the two attributes to be present, but not both. This kind of logic design for attribute combinations, along with autoencoders capable of discove</w:t>
      </w:r>
      <w:r>
        <w:t xml:space="preserve">ring hidden structure in data (including dimensionality reduction), represents an area likely to see continued development. Deep learning using autoencoder layers has been behind some of the most powerful recent breakthroughs, including defeating world-class human players at chess and </w:t>
      </w:r>
      <w:proofErr w:type="gramStart"/>
      <w:r>
        <w:t>Go</w:t>
      </w:r>
      <w:proofErr w:type="gramEnd"/>
      <w:r>
        <w:t>.</w:t>
      </w:r>
    </w:p>
    <w:p w14:paraId="7C938CDB"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The Road Ahead</w:t>
      </w:r>
    </w:p>
    <w:p w14:paraId="438F9E07" w14:textId="77777777" w:rsidR="009833B6" w:rsidRDefault="00DC2F7D">
      <w:pPr>
        <w:spacing w:after="160"/>
      </w:pPr>
      <w:r>
        <w:t xml:space="preserve">No one can reliably predict the specific future of machine learning technology, but continued, active development in the field is a safe expectation; this is not a technology that will fade away soon. Meaningful limitations remain, particularly around computer resources, network bandwidth, and the cost of computation; quantum computation is anticipated as a potential next </w:t>
      </w:r>
      <w:proofErr w:type="gramStart"/>
      <w:r>
        <w:t>major breakthrough</w:t>
      </w:r>
      <w:proofErr w:type="gramEnd"/>
      <w:r>
        <w:t xml:space="preserve"> addressing computational cost. Professional identities and society memberships </w:t>
      </w:r>
      <w:r>
        <w:lastRenderedPageBreak/>
        <w:t xml:space="preserve">(SEG, AAPG, SPE) may shift over time as this technology matures, though someone will always be needed to oversee and guide the process, since </w:t>
      </w:r>
      <w:proofErr w:type="gramStart"/>
      <w:r>
        <w:t>the technology</w:t>
      </w:r>
      <w:proofErr w:type="gramEnd"/>
      <w:r>
        <w:t xml:space="preserve"> cannot solve every problem on its own.</w:t>
      </w:r>
    </w:p>
    <w:p w14:paraId="77AE3EBE" w14:textId="77777777" w:rsidR="009833B6" w:rsidRDefault="00DC2F7D">
      <w:pPr>
        <w:spacing w:after="160"/>
      </w:pPr>
      <w:r>
        <w:t>Looking forward: deep learning networks will increasingly be tuned for multi-attribute seismic data (rather than single-attribute amplitude alone, as demonstrated in earlier CNN examples in this course), consistent with how SOM and k-means already use multi-attribute samples. Machine learning systems that incorporate physical principles and real rock-property values, rather than relying purely on statistical pattern-matching (recalling the earlier chickens-and-snakes cautionary example), are expected to dev</w:t>
      </w:r>
      <w:r>
        <w:t>elop, along with tighter integration of seismic, well logs, and borehole information to support reservoir simulation and improved prediction.</w:t>
      </w:r>
    </w:p>
    <w:p w14:paraId="72A9F4CF" w14:textId="77777777" w:rsidR="009833B6" w:rsidRDefault="00DC2F7D">
      <w:pPr>
        <w:pStyle w:val="Heading2"/>
        <w:spacing w:before="320" w:after="140"/>
      </w:pPr>
      <w:r>
        <w:rPr>
          <w:rFonts w:ascii="Noto Sans Semibold" w:eastAsia="Noto Sans Semibold" w:hAnsi="Noto Sans Semibold" w:cs="Noto Sans Semibold"/>
          <w:b/>
          <w:bCs/>
          <w:color w:val="0080A8"/>
          <w:sz w:val="30"/>
          <w:szCs w:val="30"/>
        </w:rPr>
        <w:t>Summary</w:t>
      </w:r>
    </w:p>
    <w:p w14:paraId="7D2197B7" w14:textId="77777777" w:rsidR="009833B6" w:rsidRDefault="00DC2F7D">
      <w:pPr>
        <w:spacing w:after="160"/>
      </w:pPr>
      <w:r>
        <w:t xml:space="preserve">This session presented an example of </w:t>
      </w:r>
      <w:proofErr w:type="spellStart"/>
      <w:r>
        <w:t>geobodies</w:t>
      </w:r>
      <w:proofErr w:type="spellEnd"/>
      <w:r>
        <w:t xml:space="preserve"> created within the Sooner Field and how they can provide a reasonable estimate of potential reservoir volumetrics. It then covered the logic behind selecting a neural network architecture suited to a given problem, emphasizing that understanding the specific question to be answered is more important than the choice of algorithm or network structure. The session closed with reflections on the future of machine learning in the oil and gas industry.</w:t>
      </w:r>
    </w:p>
    <w:sectPr w:rsidR="009833B6">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D435" w14:textId="77777777" w:rsidR="00DC2F7D" w:rsidRDefault="00DC2F7D">
      <w:r>
        <w:separator/>
      </w:r>
    </w:p>
  </w:endnote>
  <w:endnote w:type="continuationSeparator" w:id="0">
    <w:p w14:paraId="48602D8A" w14:textId="77777777" w:rsidR="00DC2F7D" w:rsidRDefault="00DC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AA15" w14:textId="77777777" w:rsidR="009833B6" w:rsidRDefault="00DC2F7D">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4D5A7B">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2116" w14:textId="77777777" w:rsidR="00DC2F7D" w:rsidRDefault="00DC2F7D">
      <w:r>
        <w:separator/>
      </w:r>
    </w:p>
  </w:footnote>
  <w:footnote w:type="continuationSeparator" w:id="0">
    <w:p w14:paraId="52582FD3" w14:textId="77777777" w:rsidR="00DC2F7D" w:rsidRDefault="00DC2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8DE2" w14:textId="77777777" w:rsidR="009833B6" w:rsidRDefault="00DC2F7D">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472C8"/>
    <w:multiLevelType w:val="hybridMultilevel"/>
    <w:tmpl w:val="4AF6158E"/>
    <w:lvl w:ilvl="0" w:tplc="3FDAFA4C">
      <w:start w:val="1"/>
      <w:numFmt w:val="bullet"/>
      <w:lvlText w:val="●"/>
      <w:lvlJc w:val="left"/>
      <w:pPr>
        <w:ind w:left="720" w:hanging="360"/>
      </w:pPr>
    </w:lvl>
    <w:lvl w:ilvl="1" w:tplc="EC0A0338">
      <w:start w:val="1"/>
      <w:numFmt w:val="bullet"/>
      <w:lvlText w:val="○"/>
      <w:lvlJc w:val="left"/>
      <w:pPr>
        <w:ind w:left="1440" w:hanging="360"/>
      </w:pPr>
    </w:lvl>
    <w:lvl w:ilvl="2" w:tplc="B2ACFB06">
      <w:start w:val="1"/>
      <w:numFmt w:val="bullet"/>
      <w:lvlText w:val="■"/>
      <w:lvlJc w:val="left"/>
      <w:pPr>
        <w:ind w:left="2160" w:hanging="360"/>
      </w:pPr>
    </w:lvl>
    <w:lvl w:ilvl="3" w:tplc="A9CC8186">
      <w:start w:val="1"/>
      <w:numFmt w:val="bullet"/>
      <w:lvlText w:val="●"/>
      <w:lvlJc w:val="left"/>
      <w:pPr>
        <w:ind w:left="2880" w:hanging="360"/>
      </w:pPr>
    </w:lvl>
    <w:lvl w:ilvl="4" w:tplc="61580CAA">
      <w:start w:val="1"/>
      <w:numFmt w:val="bullet"/>
      <w:lvlText w:val="○"/>
      <w:lvlJc w:val="left"/>
      <w:pPr>
        <w:ind w:left="3600" w:hanging="360"/>
      </w:pPr>
    </w:lvl>
    <w:lvl w:ilvl="5" w:tplc="43C8B01C">
      <w:start w:val="1"/>
      <w:numFmt w:val="bullet"/>
      <w:lvlText w:val="■"/>
      <w:lvlJc w:val="left"/>
      <w:pPr>
        <w:ind w:left="4320" w:hanging="360"/>
      </w:pPr>
    </w:lvl>
    <w:lvl w:ilvl="6" w:tplc="C0A62E30">
      <w:start w:val="1"/>
      <w:numFmt w:val="bullet"/>
      <w:lvlText w:val="●"/>
      <w:lvlJc w:val="left"/>
      <w:pPr>
        <w:ind w:left="5040" w:hanging="360"/>
      </w:pPr>
    </w:lvl>
    <w:lvl w:ilvl="7" w:tplc="41443F50">
      <w:start w:val="1"/>
      <w:numFmt w:val="bullet"/>
      <w:lvlText w:val="●"/>
      <w:lvlJc w:val="left"/>
      <w:pPr>
        <w:ind w:left="5760" w:hanging="360"/>
      </w:pPr>
    </w:lvl>
    <w:lvl w:ilvl="8" w:tplc="701E9964">
      <w:start w:val="1"/>
      <w:numFmt w:val="bullet"/>
      <w:lvlText w:val="●"/>
      <w:lvlJc w:val="left"/>
      <w:pPr>
        <w:ind w:left="6480" w:hanging="360"/>
      </w:pPr>
    </w:lvl>
  </w:abstractNum>
  <w:abstractNum w:abstractNumId="1" w15:restartNumberingAfterBreak="0">
    <w:nsid w:val="6E4C2B6A"/>
    <w:multiLevelType w:val="hybridMultilevel"/>
    <w:tmpl w:val="5754AD34"/>
    <w:lvl w:ilvl="0" w:tplc="435CB0D4">
      <w:start w:val="1"/>
      <w:numFmt w:val="decimal"/>
      <w:lvlText w:val="%1."/>
      <w:lvlJc w:val="left"/>
      <w:pPr>
        <w:ind w:left="460" w:hanging="260"/>
      </w:pPr>
    </w:lvl>
    <w:lvl w:ilvl="1" w:tplc="6484B02E">
      <w:numFmt w:val="decimal"/>
      <w:lvlText w:val=""/>
      <w:lvlJc w:val="left"/>
    </w:lvl>
    <w:lvl w:ilvl="2" w:tplc="7E341B6A">
      <w:numFmt w:val="decimal"/>
      <w:lvlText w:val=""/>
      <w:lvlJc w:val="left"/>
    </w:lvl>
    <w:lvl w:ilvl="3" w:tplc="2222E70A">
      <w:numFmt w:val="decimal"/>
      <w:lvlText w:val=""/>
      <w:lvlJc w:val="left"/>
    </w:lvl>
    <w:lvl w:ilvl="4" w:tplc="15A6D6CE">
      <w:numFmt w:val="decimal"/>
      <w:lvlText w:val=""/>
      <w:lvlJc w:val="left"/>
    </w:lvl>
    <w:lvl w:ilvl="5" w:tplc="16FAC27A">
      <w:numFmt w:val="decimal"/>
      <w:lvlText w:val=""/>
      <w:lvlJc w:val="left"/>
    </w:lvl>
    <w:lvl w:ilvl="6" w:tplc="4650C658">
      <w:numFmt w:val="decimal"/>
      <w:lvlText w:val=""/>
      <w:lvlJc w:val="left"/>
    </w:lvl>
    <w:lvl w:ilvl="7" w:tplc="D8A48456">
      <w:numFmt w:val="decimal"/>
      <w:lvlText w:val=""/>
      <w:lvlJc w:val="left"/>
    </w:lvl>
    <w:lvl w:ilvl="8" w:tplc="395E224C">
      <w:numFmt w:val="decimal"/>
      <w:lvlText w:val=""/>
      <w:lvlJc w:val="left"/>
    </w:lvl>
  </w:abstractNum>
  <w:num w:numId="1" w16cid:durableId="9179778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B6"/>
    <w:rsid w:val="000B1CE4"/>
    <w:rsid w:val="004D5A7B"/>
    <w:rsid w:val="009833B6"/>
    <w:rsid w:val="00DC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B0BFB"/>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37D7CE-8225-4956-BEF3-BD974DD982D9}"/>
</file>

<file path=customXml/itemProps2.xml><?xml version="1.0" encoding="utf-8"?>
<ds:datastoreItem xmlns:ds="http://schemas.openxmlformats.org/officeDocument/2006/customXml" ds:itemID="{A6912317-5983-4419-8514-6F5BD010484C}"/>
</file>

<file path=customXml/itemProps3.xml><?xml version="1.0" encoding="utf-8"?>
<ds:datastoreItem xmlns:ds="http://schemas.openxmlformats.org/officeDocument/2006/customXml" ds:itemID="{821EE0ED-48BB-4AF8-B3C0-CC68269FBD01}"/>
</file>

<file path=docProps/app.xml><?xml version="1.0" encoding="utf-8"?>
<Properties xmlns="http://schemas.openxmlformats.org/officeDocument/2006/extended-properties" xmlns:vt="http://schemas.openxmlformats.org/officeDocument/2006/docPropsVTypes">
  <Template>Normal.dotm</Template>
  <TotalTime>1</TotalTime>
  <Pages>5</Pages>
  <Words>1726</Words>
  <Characters>9839</Characters>
  <Application>Microsoft Office Word</Application>
  <DocSecurity>0</DocSecurity>
  <Lines>81</Lines>
  <Paragraphs>23</Paragraphs>
  <ScaleCrop>false</ScaleCrop>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2026-08-06T13:21:00Z</dcterms:created>
  <dcterms:modified xsi:type="dcterms:W3CDTF">2026-08-06T13:21:00Z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