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799805" w14:textId="77777777" w:rsidR="00902F67" w:rsidRDefault="00B03082">
      <w:pPr>
        <w:spacing w:before="400" w:after="500"/>
      </w:pPr>
      <w:r>
        <w:rPr>
          <w:noProof/>
        </w:rPr>
        <w:drawing>
          <wp:inline distT="0" distB="0" distL="0" distR="0" wp14:anchorId="43074FB7" wp14:editId="0A89EF82">
            <wp:extent cx="2924175" cy="7429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7"/>
                    <a:srcRect/>
                    <a:stretch>
                      <a:fillRect/>
                    </a:stretch>
                  </pic:blipFill>
                  <pic:spPr bwMode="auto">
                    <a:xfrm>
                      <a:off x="0" y="0"/>
                      <a:ext cx="2924175" cy="742950"/>
                    </a:xfrm>
                    <a:prstGeom prst="rect">
                      <a:avLst/>
                    </a:prstGeom>
                  </pic:spPr>
                </pic:pic>
              </a:graphicData>
            </a:graphic>
          </wp:inline>
        </w:drawing>
      </w:r>
    </w:p>
    <w:p w14:paraId="7BC9D0AE" w14:textId="77777777" w:rsidR="00902F67" w:rsidRDefault="00B03082">
      <w:pPr>
        <w:spacing w:before="800" w:after="120"/>
      </w:pPr>
      <w:r>
        <w:rPr>
          <w:rFonts w:ascii="Noto Sans Semibold" w:eastAsia="Noto Sans Semibold" w:hAnsi="Noto Sans Semibold" w:cs="Noto Sans Semibold"/>
          <w:b/>
          <w:bCs/>
          <w:color w:val="005563"/>
          <w:sz w:val="56"/>
          <w:szCs w:val="56"/>
        </w:rPr>
        <w:t>Self-Organizing Maps: How They Work, Part 1</w:t>
      </w:r>
    </w:p>
    <w:p w14:paraId="08578D63" w14:textId="77777777" w:rsidR="00902F67" w:rsidRDefault="00902F67">
      <w:pPr>
        <w:pBdr>
          <w:bottom w:val="single" w:sz="18" w:space="8" w:color="F7941D"/>
        </w:pBdr>
        <w:spacing w:after="300"/>
      </w:pPr>
    </w:p>
    <w:p w14:paraId="21D7D147" w14:textId="77777777" w:rsidR="00902F67" w:rsidRDefault="00B03082">
      <w:pPr>
        <w:spacing w:after="3200"/>
      </w:pPr>
      <w:proofErr w:type="spellStart"/>
      <w:r>
        <w:rPr>
          <w:i/>
          <w:iCs/>
          <w:color w:val="0080A8"/>
          <w:sz w:val="24"/>
          <w:szCs w:val="24"/>
        </w:rPr>
        <w:t>Ecourse</w:t>
      </w:r>
      <w:proofErr w:type="spellEnd"/>
      <w:r>
        <w:rPr>
          <w:i/>
          <w:iCs/>
          <w:color w:val="0080A8"/>
          <w:sz w:val="24"/>
          <w:szCs w:val="24"/>
        </w:rPr>
        <w:t xml:space="preserve"> Presentation - Cleaned Transcript</w:t>
      </w:r>
    </w:p>
    <w:p w14:paraId="6F84611D" w14:textId="77777777" w:rsidR="00902F67" w:rsidRDefault="00B03082">
      <w:r>
        <w:br w:type="page"/>
      </w:r>
    </w:p>
    <w:p w14:paraId="448E8AF3" w14:textId="77777777" w:rsidR="00902F67" w:rsidRDefault="00B03082">
      <w:pPr>
        <w:pStyle w:val="Heading2"/>
        <w:spacing w:before="320" w:after="140"/>
      </w:pPr>
      <w:r>
        <w:rPr>
          <w:rFonts w:ascii="Noto Sans Semibold" w:eastAsia="Noto Sans Semibold" w:hAnsi="Noto Sans Semibold" w:cs="Noto Sans Semibold"/>
          <w:b/>
          <w:bCs/>
          <w:color w:val="0080A8"/>
          <w:sz w:val="30"/>
          <w:szCs w:val="30"/>
        </w:rPr>
        <w:lastRenderedPageBreak/>
        <w:t>Overview</w:t>
      </w:r>
    </w:p>
    <w:p w14:paraId="2B755808" w14:textId="77777777" w:rsidR="00902F67" w:rsidRDefault="00B03082">
      <w:pPr>
        <w:spacing w:after="160"/>
      </w:pPr>
      <w:r>
        <w:t xml:space="preserve">This lesson covers survey space, attribute space, and topology space, and how each space is populated. It discusses using Euclidean distance to measure between each data sample and each neuron, the importance of the winning neuron, </w:t>
      </w:r>
      <w:proofErr w:type="spellStart"/>
      <w:r>
        <w:t>geobodies</w:t>
      </w:r>
      <w:proofErr w:type="spellEnd"/>
      <w:r>
        <w:t xml:space="preserve"> and their relationship to neurons, and the no free lunch theorem.</w:t>
      </w:r>
    </w:p>
    <w:p w14:paraId="4FBEF6E2" w14:textId="77777777" w:rsidR="00902F67" w:rsidRDefault="00B03082">
      <w:pPr>
        <w:pStyle w:val="Heading2"/>
        <w:spacing w:before="320" w:after="140"/>
      </w:pPr>
      <w:r>
        <w:rPr>
          <w:rFonts w:ascii="Noto Sans Semibold" w:eastAsia="Noto Sans Semibold" w:hAnsi="Noto Sans Semibold" w:cs="Noto Sans Semibold"/>
          <w:b/>
          <w:bCs/>
          <w:color w:val="0080A8"/>
          <w:sz w:val="30"/>
          <w:szCs w:val="30"/>
        </w:rPr>
        <w:t>Three Spaces: Survey, Attribute, and Topology</w:t>
      </w:r>
    </w:p>
    <w:p w14:paraId="6C121CFB" w14:textId="77777777" w:rsidR="00902F67" w:rsidRDefault="00B03082">
      <w:pPr>
        <w:spacing w:after="160"/>
      </w:pPr>
      <w:r>
        <w:t>Building on the Earth-to-Earth model concept, SOM operation can be described using three spaces:</w:t>
      </w:r>
    </w:p>
    <w:p w14:paraId="0DEEC412" w14:textId="77777777" w:rsidR="00902F67" w:rsidRDefault="00B03082">
      <w:pPr>
        <w:pStyle w:val="ListParagraph"/>
        <w:numPr>
          <w:ilvl w:val="0"/>
          <w:numId w:val="1"/>
        </w:numPr>
        <w:spacing w:after="80"/>
      </w:pPr>
      <w:r>
        <w:rPr>
          <w:b/>
          <w:bCs/>
          <w:color w:val="005563"/>
        </w:rPr>
        <w:t>Survey space:</w:t>
      </w:r>
      <w:r>
        <w:t xml:space="preserve"> the 3D seismic survey itself.</w:t>
      </w:r>
    </w:p>
    <w:p w14:paraId="1BE495D2" w14:textId="77777777" w:rsidR="00902F67" w:rsidRDefault="00B03082">
      <w:pPr>
        <w:pStyle w:val="ListParagraph"/>
        <w:numPr>
          <w:ilvl w:val="0"/>
          <w:numId w:val="1"/>
        </w:numPr>
        <w:spacing w:after="80"/>
      </w:pPr>
      <w:r>
        <w:rPr>
          <w:b/>
          <w:bCs/>
          <w:color w:val="005563"/>
        </w:rPr>
        <w:t>Attribute space:</w:t>
      </w:r>
      <w:r>
        <w:t xml:space="preserve"> populated by applying the attribute selection list to the 3D survey, producing multi-attribute samples.</w:t>
      </w:r>
    </w:p>
    <w:p w14:paraId="2B54645E" w14:textId="77777777" w:rsidR="00902F67" w:rsidRDefault="00B03082">
      <w:pPr>
        <w:pStyle w:val="ListParagraph"/>
        <w:numPr>
          <w:ilvl w:val="0"/>
          <w:numId w:val="1"/>
        </w:numPr>
        <w:spacing w:after="80"/>
      </w:pPr>
      <w:r>
        <w:rPr>
          <w:b/>
          <w:bCs/>
          <w:color w:val="005563"/>
        </w:rPr>
        <w:t>Topology space:</w:t>
      </w:r>
      <w:r>
        <w:t xml:space="preserve"> defined by the chosen neuron topology (for example, 3x3, 8x8, 12x12, or 4x6), along with its connectivity pattern.</w:t>
      </w:r>
    </w:p>
    <w:p w14:paraId="5F9B4423" w14:textId="77777777" w:rsidR="00902F67" w:rsidRDefault="00B03082">
      <w:pPr>
        <w:spacing w:after="160"/>
      </w:pPr>
      <w:r>
        <w:t>Training begins by selecting a set of attributes, populating attribute space with samples, and selecting a neuron topology for training.</w:t>
      </w:r>
    </w:p>
    <w:p w14:paraId="6291D252" w14:textId="77777777" w:rsidR="00902F67" w:rsidRDefault="00B03082">
      <w:pPr>
        <w:pStyle w:val="Heading2"/>
        <w:spacing w:before="320" w:after="140"/>
      </w:pPr>
      <w:r>
        <w:rPr>
          <w:rFonts w:ascii="Noto Sans Semibold" w:eastAsia="Noto Sans Semibold" w:hAnsi="Noto Sans Semibold" w:cs="Noto Sans Semibold"/>
          <w:b/>
          <w:bCs/>
          <w:color w:val="0080A8"/>
          <w:sz w:val="30"/>
          <w:szCs w:val="30"/>
        </w:rPr>
        <w:t>How SOM Operates</w:t>
      </w:r>
    </w:p>
    <w:p w14:paraId="0F3E8B4E" w14:textId="77777777" w:rsidR="00902F67" w:rsidRDefault="00B03082">
      <w:pPr>
        <w:pStyle w:val="ListParagraph"/>
        <w:numPr>
          <w:ilvl w:val="0"/>
          <w:numId w:val="2"/>
        </w:numPr>
        <w:spacing w:after="80"/>
      </w:pPr>
      <w:r>
        <w:t>SOM injects an initial position for each neuron into attribute space, based on the number of neurons defined by the chosen topology (for example, 64 neurons for an 8x8 topology). Initial positions can be random coordinates, all zeros, or actual sample values.</w:t>
      </w:r>
    </w:p>
    <w:p w14:paraId="6D72D7F2" w14:textId="77777777" w:rsidR="00902F67" w:rsidRDefault="00B03082">
      <w:pPr>
        <w:pStyle w:val="ListParagraph"/>
        <w:numPr>
          <w:ilvl w:val="0"/>
          <w:numId w:val="2"/>
        </w:numPr>
        <w:spacing w:after="80"/>
      </w:pPr>
      <w:r>
        <w:t xml:space="preserve">Training proceeds through </w:t>
      </w:r>
      <w:proofErr w:type="gramStart"/>
      <w:r>
        <w:t>a number of</w:t>
      </w:r>
      <w:proofErr w:type="gramEnd"/>
      <w:r>
        <w:t xml:space="preserve"> epochs, with neurons searching for natural clusters of information. Neurons are drawn toward regions of higher sample density and away from regions of low density, since the pull on a neuron depends on the density of nearby samples. This is why more neurons end up located where sample density is higher.</w:t>
      </w:r>
    </w:p>
    <w:p w14:paraId="69D349FC" w14:textId="77777777" w:rsidR="00902F67" w:rsidRDefault="00B03082">
      <w:pPr>
        <w:pStyle w:val="ListParagraph"/>
        <w:numPr>
          <w:ilvl w:val="0"/>
          <w:numId w:val="2"/>
        </w:numPr>
        <w:spacing w:after="80"/>
      </w:pPr>
      <w:r>
        <w:t xml:space="preserve">During training, Euclidean distance is used to measure the distance between a sample and each neuron, </w:t>
      </w:r>
      <w:proofErr w:type="gramStart"/>
      <w:r>
        <w:t>in order to</w:t>
      </w:r>
      <w:proofErr w:type="gramEnd"/>
      <w:r>
        <w:t xml:space="preserve"> identify the winning neuron and move it (along with its neighborhood, as described previously).</w:t>
      </w:r>
    </w:p>
    <w:p w14:paraId="69CA381D" w14:textId="77777777" w:rsidR="00902F67" w:rsidRDefault="00B03082">
      <w:pPr>
        <w:pStyle w:val="Heading3"/>
        <w:spacing w:before="240" w:after="100"/>
      </w:pPr>
      <w:r>
        <w:rPr>
          <w:rFonts w:ascii="Noto Sans Semibold" w:eastAsia="Noto Sans Semibold" w:hAnsi="Noto Sans Semibold" w:cs="Noto Sans Semibold"/>
          <w:b/>
          <w:bCs/>
          <w:color w:val="005563"/>
        </w:rPr>
        <w:t>Example: A Winning Neuron and Its Samples</w:t>
      </w:r>
    </w:p>
    <w:p w14:paraId="0DD79C23" w14:textId="77777777" w:rsidR="00902F67" w:rsidRDefault="00B03082">
      <w:pPr>
        <w:spacing w:after="160"/>
      </w:pPr>
      <w:r>
        <w:t xml:space="preserve">For a given winning neuron, its associated set of classified samples in the 3D survey might correspond to only a handful of samples (for example, four), and lighting up only those samples in the survey might reveal that they form two separate </w:t>
      </w:r>
      <w:proofErr w:type="spellStart"/>
      <w:r>
        <w:t>geobodies</w:t>
      </w:r>
      <w:proofErr w:type="spellEnd"/>
      <w:r>
        <w:t xml:space="preserve"> rather than one. A winning neuron does not always correspond to exactly one </w:t>
      </w:r>
      <w:proofErr w:type="spellStart"/>
      <w:r>
        <w:t>geobody</w:t>
      </w:r>
      <w:proofErr w:type="spellEnd"/>
      <w:r>
        <w:t>: sometimes it corresponds to none, sometimes to many.</w:t>
      </w:r>
    </w:p>
    <w:p w14:paraId="238D97E6" w14:textId="77777777" w:rsidR="00902F67" w:rsidRDefault="00B03082">
      <w:pPr>
        <w:spacing w:after="160"/>
      </w:pPr>
      <w:r>
        <w:t xml:space="preserve">Among the samples associated with a winning neuron, those with small Euclidean distance to the neuron have a higher probability of being a good fit, while a sample with a larger Euclidean distance has a lower-probability, possibly poorer fit. A low-probability sample may still be geologically meaningful and worth further investigation, since it indicates the winning neuron is not very close to that </w:t>
      </w:r>
      <w:proofErr w:type="gramStart"/>
      <w:r>
        <w:t>particular sample</w:t>
      </w:r>
      <w:proofErr w:type="gramEnd"/>
      <w:r>
        <w:t>, even though it is still the closest available neuron.</w:t>
      </w:r>
    </w:p>
    <w:p w14:paraId="0A091A57" w14:textId="77777777" w:rsidR="00902F67" w:rsidRDefault="00B03082">
      <w:pPr>
        <w:pStyle w:val="Heading2"/>
        <w:spacing w:before="320" w:after="140"/>
      </w:pPr>
      <w:r>
        <w:rPr>
          <w:rFonts w:ascii="Noto Sans Semibold" w:eastAsia="Noto Sans Semibold" w:hAnsi="Noto Sans Semibold" w:cs="Noto Sans Semibold"/>
          <w:b/>
          <w:bCs/>
          <w:color w:val="0080A8"/>
          <w:sz w:val="30"/>
          <w:szCs w:val="30"/>
        </w:rPr>
        <w:t>The No Free Lunch Theorem</w:t>
      </w:r>
    </w:p>
    <w:p w14:paraId="1A442F89" w14:textId="77777777" w:rsidR="00902F67" w:rsidRDefault="00B03082">
      <w:pPr>
        <w:spacing w:after="160"/>
      </w:pPr>
      <w:r>
        <w:lastRenderedPageBreak/>
        <w:t xml:space="preserve">The no free lunch theorem states that any two optimization algorithms are equivalent when their performance is averaged over all possible kinds of problems. In practical terms: a machine learning algorithm that is faster than others on a given dataset </w:t>
      </w:r>
      <w:proofErr w:type="gramStart"/>
      <w:r>
        <w:t>is</w:t>
      </w:r>
      <w:proofErr w:type="gramEnd"/>
      <w:r>
        <w:t xml:space="preserve"> genuinely faster for that dataset, but it will not necessarily be the fastest (or best) algorithm for all datasets. Different algorithms show different advantages and disadvantages depending on the specific problem they are applied to; there is no universally superior algorithm across all data types.</w:t>
      </w:r>
    </w:p>
    <w:p w14:paraId="44E04986" w14:textId="77777777" w:rsidR="00902F67" w:rsidRDefault="00B03082">
      <w:pPr>
        <w:spacing w:after="160"/>
      </w:pPr>
      <w:r>
        <w:t>A practical implication: the fastest algorithm is not guaranteed to give the most correct answer. To check for consistency, it is common practice to retrain using different initial conditions, such as different random subsets of training samples (for supervised networks) or different initial neuron coordinates (for unsupervised networks), and to check whether the results converge to essentially the same solution.</w:t>
      </w:r>
    </w:p>
    <w:p w14:paraId="6B7180B4" w14:textId="77777777" w:rsidR="00902F67" w:rsidRDefault="00B03082">
      <w:pPr>
        <w:pStyle w:val="Heading2"/>
        <w:spacing w:before="320" w:after="140"/>
      </w:pPr>
      <w:r>
        <w:rPr>
          <w:rFonts w:ascii="Noto Sans Semibold" w:eastAsia="Noto Sans Semibold" w:hAnsi="Noto Sans Semibold" w:cs="Noto Sans Semibold"/>
          <w:b/>
          <w:bCs/>
          <w:color w:val="0080A8"/>
          <w:sz w:val="30"/>
          <w:szCs w:val="30"/>
        </w:rPr>
        <w:t>Hyper Volumes and the Curse of Dimensionality</w:t>
      </w:r>
    </w:p>
    <w:p w14:paraId="7C637039" w14:textId="77777777" w:rsidR="00902F67" w:rsidRDefault="00B03082">
      <w:pPr>
        <w:spacing w:after="160"/>
      </w:pPr>
      <w:r>
        <w:t>Attribute data is normalized (z-scored) by subtracting the mean and dividing by the standard deviation for each attribute, so that no single attribute dominates due to scale. This typically scales most data to within about four standard deviations of the mean.</w:t>
      </w:r>
    </w:p>
    <w:p w14:paraId="0DD53E36" w14:textId="77777777" w:rsidR="00902F67" w:rsidRDefault="00B03082">
      <w:pPr>
        <w:spacing w:after="160"/>
      </w:pPr>
      <w:r>
        <w:t xml:space="preserve">In ordinary three-dimensional space, an object like a beach ball has a volume proportional to the cube of its radius. In n-dimensional space, the volume of a "hyper ball" out to a given radius is proportional to the radius raised to the nth power. As dimensionality increases, the ratio between a hyper-volume at a given radius and an ordinary three-dimensional volume at that same radius grows dramatically. For example, at a radius of four in five-dimensional space, the hyper-volume can be roughly 22.5 times </w:t>
      </w:r>
      <w:r>
        <w:t>larger than the equivalent three-dimensional volume, and the effect becomes far more extreme at ten or fifty dimensions.</w:t>
      </w:r>
    </w:p>
    <w:p w14:paraId="48C048B3" w14:textId="77777777" w:rsidR="00902F67" w:rsidRDefault="00B03082">
      <w:pPr>
        <w:spacing w:after="160"/>
      </w:pPr>
      <w:r>
        <w:t xml:space="preserve">This effect underlies the </w:t>
      </w:r>
      <w:r>
        <w:rPr>
          <w:b/>
          <w:bCs/>
          <w:color w:val="005563"/>
        </w:rPr>
        <w:t>curse of dimensionality</w:t>
      </w:r>
      <w:r>
        <w:t>, a concept originally identified by Richard Bellman shortly after World War II. As the dimensionality of a space increases, the space itself effectively becomes "thinner," meaning that more samples are statistically required to make meaningful predictions, and natural clusters need to grow larger (contain more samples) to be statistically significant. Samples in high-dimensional space also tend to grow more distant from one another. More attributes require more data, but at the same time, the relative impo</w:t>
      </w:r>
      <w:r>
        <w:t>rtance of any single attribute decreases as the number of attributes increases. A practical consequence is that distinguishing between two nearby winning neurons becomes more difficult as dimensionality increases, since the separation between the data samples associated with each neuron shrinks.</w:t>
      </w:r>
    </w:p>
    <w:p w14:paraId="13B1E5E1" w14:textId="77777777" w:rsidR="00902F67" w:rsidRDefault="00B03082">
      <w:pPr>
        <w:pStyle w:val="Heading2"/>
        <w:spacing w:before="320" w:after="140"/>
      </w:pPr>
      <w:r>
        <w:rPr>
          <w:rFonts w:ascii="Noto Sans Semibold" w:eastAsia="Noto Sans Semibold" w:hAnsi="Noto Sans Semibold" w:cs="Noto Sans Semibold"/>
          <w:b/>
          <w:bCs/>
          <w:color w:val="0080A8"/>
          <w:sz w:val="30"/>
          <w:szCs w:val="30"/>
        </w:rPr>
        <w:t>A Brief Introduction to Machine Learning Mathematical Notation</w:t>
      </w:r>
    </w:p>
    <w:p w14:paraId="2ACC9CF7" w14:textId="77777777" w:rsidR="00902F67" w:rsidRDefault="00B03082">
      <w:pPr>
        <w:spacing w:after="160"/>
      </w:pPr>
      <w:r>
        <w:t>Since machine learning relies on a compact mathematical notation for sets, the following conventions are introduced:</w:t>
      </w:r>
    </w:p>
    <w:p w14:paraId="06AE7A5D" w14:textId="77777777" w:rsidR="00902F67" w:rsidRDefault="00B03082">
      <w:pPr>
        <w:pStyle w:val="ListParagraph"/>
        <w:numPr>
          <w:ilvl w:val="0"/>
          <w:numId w:val="1"/>
        </w:numPr>
        <w:spacing w:after="80"/>
      </w:pPr>
      <w:r>
        <w:t>Constants, variables, and subscripts: lowercase.</w:t>
      </w:r>
    </w:p>
    <w:p w14:paraId="6E98F1F6" w14:textId="77777777" w:rsidR="00902F67" w:rsidRDefault="00B03082">
      <w:pPr>
        <w:pStyle w:val="ListParagraph"/>
        <w:numPr>
          <w:ilvl w:val="0"/>
          <w:numId w:val="1"/>
        </w:numPr>
        <w:spacing w:after="80"/>
      </w:pPr>
      <w:r>
        <w:t xml:space="preserve">Vectors: lowercase and bold (for example, vector </w:t>
      </w:r>
      <w:r>
        <w:rPr>
          <w:b/>
          <w:bCs/>
          <w:color w:val="005563"/>
        </w:rPr>
        <w:t>c</w:t>
      </w:r>
      <w:r>
        <w:t xml:space="preserve"> = vector </w:t>
      </w:r>
      <w:r>
        <w:rPr>
          <w:b/>
          <w:bCs/>
          <w:color w:val="005563"/>
        </w:rPr>
        <w:t>a</w:t>
      </w:r>
      <w:r>
        <w:t xml:space="preserve"> + vector </w:t>
      </w:r>
      <w:r>
        <w:rPr>
          <w:b/>
          <w:bCs/>
          <w:color w:val="005563"/>
        </w:rPr>
        <w:t>b</w:t>
      </w:r>
      <w:r>
        <w:t>).</w:t>
      </w:r>
    </w:p>
    <w:p w14:paraId="7C8762B3" w14:textId="77777777" w:rsidR="00902F67" w:rsidRDefault="00B03082">
      <w:pPr>
        <w:pStyle w:val="ListParagraph"/>
        <w:numPr>
          <w:ilvl w:val="0"/>
          <w:numId w:val="1"/>
        </w:numPr>
        <w:spacing w:after="80"/>
      </w:pPr>
      <w:r>
        <w:t>Matrices: uppercase, not bold.</w:t>
      </w:r>
    </w:p>
    <w:p w14:paraId="70E26270" w14:textId="77777777" w:rsidR="00902F67" w:rsidRDefault="00B03082">
      <w:pPr>
        <w:pStyle w:val="ListParagraph"/>
        <w:numPr>
          <w:ilvl w:val="0"/>
          <w:numId w:val="1"/>
        </w:numPr>
        <w:spacing w:after="80"/>
      </w:pPr>
      <w:r>
        <w:t>Sets: uppercase and bold. Square brackets denote an ordered set; curly brackets denote an unordered set.</w:t>
      </w:r>
    </w:p>
    <w:p w14:paraId="37E754CE" w14:textId="77777777" w:rsidR="00902F67" w:rsidRDefault="00B03082">
      <w:pPr>
        <w:pStyle w:val="ListParagraph"/>
        <w:numPr>
          <w:ilvl w:val="0"/>
          <w:numId w:val="1"/>
        </w:numPr>
        <w:spacing w:after="80"/>
      </w:pPr>
      <w:r>
        <w:lastRenderedPageBreak/>
        <w:t>Common number sets: R (real numbers), I (imaginary numbers), C (complex numbers), Z (integers).</w:t>
      </w:r>
    </w:p>
    <w:p w14:paraId="40AD2EE3" w14:textId="77777777" w:rsidR="00902F67" w:rsidRDefault="00B03082">
      <w:pPr>
        <w:pStyle w:val="ListParagraph"/>
        <w:numPr>
          <w:ilvl w:val="0"/>
          <w:numId w:val="1"/>
        </w:numPr>
        <w:spacing w:after="80"/>
      </w:pPr>
      <w:r>
        <w:t>The vertical bar symbol means "given that." The stylized epsilon-like symbol indicates membership (or non-membership) in a set. A "U" shape indicates a subset relationship.</w:t>
      </w:r>
    </w:p>
    <w:p w14:paraId="4EECA251" w14:textId="77777777" w:rsidR="00902F67" w:rsidRDefault="00B03082">
      <w:pPr>
        <w:spacing w:after="160"/>
      </w:pPr>
      <w:r>
        <w:t>Using this notation:</w:t>
      </w:r>
    </w:p>
    <w:p w14:paraId="671BCDD2" w14:textId="77777777" w:rsidR="00902F67" w:rsidRDefault="00B03082">
      <w:pPr>
        <w:pStyle w:val="ListParagraph"/>
        <w:numPr>
          <w:ilvl w:val="0"/>
          <w:numId w:val="1"/>
        </w:numPr>
        <w:spacing w:after="80"/>
      </w:pPr>
      <w:r>
        <w:t>A continuous function is written in the familiar form y = f(x).</w:t>
      </w:r>
    </w:p>
    <w:p w14:paraId="30B3EDAC" w14:textId="77777777" w:rsidR="00902F67" w:rsidRDefault="00B03082">
      <w:pPr>
        <w:pStyle w:val="ListParagraph"/>
        <w:numPr>
          <w:ilvl w:val="0"/>
          <w:numId w:val="1"/>
        </w:numPr>
        <w:spacing w:after="80"/>
      </w:pPr>
      <w:r>
        <w:t>An ordered discrete set (for example, the x, y, z components of a vector) uses square brackets.</w:t>
      </w:r>
    </w:p>
    <w:p w14:paraId="01B1A70C" w14:textId="77777777" w:rsidR="00902F67" w:rsidRDefault="00B03082">
      <w:pPr>
        <w:pStyle w:val="ListParagraph"/>
        <w:numPr>
          <w:ilvl w:val="0"/>
          <w:numId w:val="1"/>
        </w:numPr>
        <w:spacing w:after="80"/>
      </w:pPr>
      <w:r>
        <w:t xml:space="preserve">An unordered discrete set of samples uses curly brackets, indexed by a positive integer </w:t>
      </w:r>
      <w:proofErr w:type="spellStart"/>
      <w:r>
        <w:t>i</w:t>
      </w:r>
      <w:proofErr w:type="spellEnd"/>
      <w:r>
        <w:t>.</w:t>
      </w:r>
    </w:p>
    <w:p w14:paraId="17621662" w14:textId="77777777" w:rsidR="00902F67" w:rsidRDefault="00B03082">
      <w:pPr>
        <w:pStyle w:val="ListParagraph"/>
        <w:numPr>
          <w:ilvl w:val="0"/>
          <w:numId w:val="1"/>
        </w:numPr>
        <w:spacing w:after="80"/>
      </w:pPr>
      <w:r>
        <w:t>A set of n m-dimensional real vectors represents n samples, each with m attributes, all residing in m-dimensional attribute space.</w:t>
      </w:r>
    </w:p>
    <w:p w14:paraId="290168B9" w14:textId="77777777" w:rsidR="00902F67" w:rsidRDefault="00B03082">
      <w:pPr>
        <w:pStyle w:val="ListParagraph"/>
        <w:numPr>
          <w:ilvl w:val="0"/>
          <w:numId w:val="1"/>
        </w:numPr>
        <w:spacing w:after="80"/>
      </w:pPr>
      <w:r>
        <w:t>A subset X-sub-</w:t>
      </w:r>
      <w:proofErr w:type="spellStart"/>
      <w:r>
        <w:t>i</w:t>
      </w:r>
      <w:proofErr w:type="spellEnd"/>
      <w:r>
        <w:t xml:space="preserve"> is a subset of the full set X, consistent with the earlier example of four samples associated with one winning neuron out of the full training set.</w:t>
      </w:r>
    </w:p>
    <w:p w14:paraId="361B57C0" w14:textId="77777777" w:rsidR="00902F67" w:rsidRDefault="00B03082">
      <w:pPr>
        <w:pStyle w:val="ListParagraph"/>
        <w:numPr>
          <w:ilvl w:val="0"/>
          <w:numId w:val="1"/>
        </w:numPr>
        <w:spacing w:after="80"/>
      </w:pPr>
      <w:r>
        <w:t>A cluster is simply a collection of samples; the complete set of k clusters constitutes the full training set, since every sample belongs to some cluster.</w:t>
      </w:r>
    </w:p>
    <w:p w14:paraId="520232B9" w14:textId="77777777" w:rsidR="00902F67" w:rsidRDefault="00B03082">
      <w:pPr>
        <w:pStyle w:val="ListParagraph"/>
        <w:numPr>
          <w:ilvl w:val="0"/>
          <w:numId w:val="1"/>
        </w:numPr>
        <w:spacing w:after="80"/>
      </w:pPr>
      <w:r>
        <w:t>The centroid of a cluster is computed by summing all samples belonging to that cluster and dividing by the number of samples, n.</w:t>
      </w:r>
    </w:p>
    <w:p w14:paraId="3960B21B" w14:textId="77777777" w:rsidR="00902F67" w:rsidRDefault="00B03082">
      <w:pPr>
        <w:spacing w:after="160"/>
      </w:pPr>
      <w:r>
        <w:t>This mathematical notation traces back to the set theory developed by Georg Cantor in the early 20th century, making it a relatively recent addition to interpretation mathematics compared to classical calculus.</w:t>
      </w:r>
    </w:p>
    <w:p w14:paraId="4D9D99EA" w14:textId="77777777" w:rsidR="00902F67" w:rsidRDefault="00B03082">
      <w:pPr>
        <w:pStyle w:val="Heading2"/>
        <w:spacing w:before="320" w:after="140"/>
      </w:pPr>
      <w:r>
        <w:rPr>
          <w:rFonts w:ascii="Noto Sans Semibold" w:eastAsia="Noto Sans Semibold" w:hAnsi="Noto Sans Semibold" w:cs="Noto Sans Semibold"/>
          <w:b/>
          <w:bCs/>
          <w:color w:val="0080A8"/>
          <w:sz w:val="30"/>
          <w:szCs w:val="30"/>
        </w:rPr>
        <w:t>From Survey Space to Attribute Space, Mathematically</w:t>
      </w:r>
    </w:p>
    <w:p w14:paraId="32267343" w14:textId="77777777" w:rsidR="00902F67" w:rsidRDefault="00B03082">
      <w:pPr>
        <w:spacing w:after="160"/>
      </w:pPr>
      <w:r>
        <w:t>A sample in survey space has three subscripts: an index for time or depth, a trace number, and a line number, placing it in ordinary three-dimensional space (R cubed). When multiple attributes are added, the sample's location does not change, but it becomes a vector with one component per attribute (for example, amplitude as attribute one, the Hilbert transform as attribute two, and so on, per the attribute selection list). This effectively adds a fourth subscript for the attribute number, producing multi-a</w:t>
      </w:r>
      <w:r>
        <w:t>ttribute samples that live in four (or more) dimensional space, described as vectors in f-dimensional attribute space if there are f attributes.</w:t>
      </w:r>
    </w:p>
    <w:p w14:paraId="08208F3C" w14:textId="77777777" w:rsidR="00902F67" w:rsidRDefault="00B03082">
      <w:pPr>
        <w:spacing w:after="160"/>
      </w:pPr>
      <w:r>
        <w:t xml:space="preserve">A natural cluster (for example, the </w:t>
      </w:r>
      <w:proofErr w:type="spellStart"/>
      <w:r>
        <w:t>mth</w:t>
      </w:r>
      <w:proofErr w:type="spellEnd"/>
      <w:r>
        <w:t xml:space="preserve"> natural cluster with n samples) can be written mathematically as a set of samples. A </w:t>
      </w:r>
      <w:proofErr w:type="spellStart"/>
      <w:r>
        <w:t>geobody</w:t>
      </w:r>
      <w:proofErr w:type="spellEnd"/>
      <w:r>
        <w:t xml:space="preserve">, by contrast, resides in survey space (x, y, z coordinates), not attribute space; the natural cluster resides in attribute space. This distinction is the central reason interpretation work must connect auto-picked natural clusters in attribute space back to </w:t>
      </w:r>
      <w:proofErr w:type="spellStart"/>
      <w:r>
        <w:t>geobodies</w:t>
      </w:r>
      <w:proofErr w:type="spellEnd"/>
      <w:r>
        <w:t xml:space="preserve"> in survey space, since that connection is what ultimately locates oil and gas.</w:t>
      </w:r>
    </w:p>
    <w:p w14:paraId="6423A59F" w14:textId="77777777" w:rsidR="00902F67" w:rsidRDefault="00B03082">
      <w:pPr>
        <w:pStyle w:val="Heading3"/>
        <w:spacing w:before="240" w:after="100"/>
      </w:pPr>
      <w:r>
        <w:rPr>
          <w:rFonts w:ascii="Noto Sans Semibold" w:eastAsia="Noto Sans Semibold" w:hAnsi="Noto Sans Semibold" w:cs="Noto Sans Semibold"/>
          <w:b/>
          <w:bCs/>
          <w:color w:val="005563"/>
        </w:rPr>
        <w:t xml:space="preserve">Natural Cluster as a </w:t>
      </w:r>
      <w:proofErr w:type="spellStart"/>
      <w:r>
        <w:rPr>
          <w:rFonts w:ascii="Noto Sans Semibold" w:eastAsia="Noto Sans Semibold" w:hAnsi="Noto Sans Semibold" w:cs="Noto Sans Semibold"/>
          <w:b/>
          <w:bCs/>
          <w:color w:val="005563"/>
        </w:rPr>
        <w:t>Geobody</w:t>
      </w:r>
      <w:proofErr w:type="spellEnd"/>
      <w:r>
        <w:rPr>
          <w:rFonts w:ascii="Noto Sans Semibold" w:eastAsia="Noto Sans Semibold" w:hAnsi="Noto Sans Semibold" w:cs="Noto Sans Semibold"/>
          <w:b/>
          <w:bCs/>
          <w:color w:val="005563"/>
        </w:rPr>
        <w:t xml:space="preserve"> Illumination</w:t>
      </w:r>
    </w:p>
    <w:p w14:paraId="4695A0C6" w14:textId="77777777" w:rsidR="00902F67" w:rsidRDefault="00B03082">
      <w:pPr>
        <w:spacing w:after="160"/>
      </w:pPr>
      <w:r>
        <w:t xml:space="preserve">A </w:t>
      </w:r>
      <w:proofErr w:type="spellStart"/>
      <w:r>
        <w:t>geobody</w:t>
      </w:r>
      <w:proofErr w:type="spellEnd"/>
      <w:r>
        <w:t xml:space="preserve"> (with, for example, 5,000 samples) can be described using an illumination function that maps it from three-dimensional survey space into attribute space, plus some added noise; the result of that mapping is the natural cluster. This relationship allows an approximate (statistical) recovery of </w:t>
      </w:r>
      <w:proofErr w:type="spellStart"/>
      <w:r>
        <w:t>geobodies</w:t>
      </w:r>
      <w:proofErr w:type="spellEnd"/>
      <w:r>
        <w:t xml:space="preserve"> from natural clusters picked by machine learning, via an inversion from f-dimensional attribute space back to three-dimensional survey space. Because this recovery is only </w:t>
      </w:r>
      <w:r>
        <w:lastRenderedPageBreak/>
        <w:t>an estimate, subject to nois</w:t>
      </w:r>
      <w:r>
        <w:t xml:space="preserve">e, the resulting </w:t>
      </w:r>
      <w:proofErr w:type="spellStart"/>
      <w:r>
        <w:t>geobodies</w:t>
      </w:r>
      <w:proofErr w:type="spellEnd"/>
      <w:r>
        <w:t xml:space="preserve"> are estimates rather than exact recoveries, and the robustness of the classifier is essential to seeing through the noise.</w:t>
      </w:r>
    </w:p>
    <w:p w14:paraId="7545A7DD" w14:textId="77777777" w:rsidR="00902F67" w:rsidRDefault="00B03082">
      <w:pPr>
        <w:pStyle w:val="Heading2"/>
        <w:spacing w:before="320" w:after="140"/>
      </w:pPr>
      <w:r>
        <w:rPr>
          <w:rFonts w:ascii="Noto Sans Semibold" w:eastAsia="Noto Sans Semibold" w:hAnsi="Noto Sans Semibold" w:cs="Noto Sans Semibold"/>
          <w:b/>
          <w:bCs/>
          <w:color w:val="0080A8"/>
          <w:sz w:val="30"/>
          <w:szCs w:val="30"/>
        </w:rPr>
        <w:t xml:space="preserve">Seven Possible Relationships Between Winning Neurons and </w:t>
      </w:r>
      <w:proofErr w:type="spellStart"/>
      <w:r>
        <w:rPr>
          <w:rFonts w:ascii="Noto Sans Semibold" w:eastAsia="Noto Sans Semibold" w:hAnsi="Noto Sans Semibold" w:cs="Noto Sans Semibold"/>
          <w:b/>
          <w:bCs/>
          <w:color w:val="0080A8"/>
          <w:sz w:val="30"/>
          <w:szCs w:val="30"/>
        </w:rPr>
        <w:t>Geobodies</w:t>
      </w:r>
      <w:proofErr w:type="spellEnd"/>
    </w:p>
    <w:p w14:paraId="0C45C49F" w14:textId="77777777" w:rsidR="00902F67" w:rsidRDefault="00B03082">
      <w:pPr>
        <w:pStyle w:val="ListParagraph"/>
        <w:numPr>
          <w:ilvl w:val="0"/>
          <w:numId w:val="2"/>
        </w:numPr>
        <w:spacing w:after="80"/>
      </w:pPr>
      <w:r>
        <w:t xml:space="preserve">A winning neuron captures a single natural cluster that traces to a single </w:t>
      </w:r>
      <w:proofErr w:type="spellStart"/>
      <w:r>
        <w:t>geobody</w:t>
      </w:r>
      <w:proofErr w:type="spellEnd"/>
      <w:r>
        <w:t>.</w:t>
      </w:r>
    </w:p>
    <w:p w14:paraId="6B94BAA3" w14:textId="77777777" w:rsidR="00902F67" w:rsidRDefault="00B03082">
      <w:pPr>
        <w:pStyle w:val="ListParagraph"/>
        <w:numPr>
          <w:ilvl w:val="0"/>
          <w:numId w:val="2"/>
        </w:numPr>
        <w:spacing w:after="80"/>
      </w:pPr>
      <w:r>
        <w:t>A winning neuron may capture coherent energy that is not geology at all (for example, an acquisition footprint).</w:t>
      </w:r>
    </w:p>
    <w:p w14:paraId="43C8E5DE" w14:textId="77777777" w:rsidR="00902F67" w:rsidRDefault="00B03082">
      <w:pPr>
        <w:pStyle w:val="ListParagraph"/>
        <w:numPr>
          <w:ilvl w:val="0"/>
          <w:numId w:val="2"/>
        </w:numPr>
        <w:spacing w:after="80"/>
      </w:pPr>
      <w:r>
        <w:t>A winning neuron may share a natural cluster with one or more other winning neurons, effectively splitting one natural cluster into two or three parts.</w:t>
      </w:r>
    </w:p>
    <w:p w14:paraId="0D2749CC" w14:textId="77777777" w:rsidR="00902F67" w:rsidRDefault="00B03082">
      <w:pPr>
        <w:pStyle w:val="ListParagraph"/>
        <w:numPr>
          <w:ilvl w:val="0"/>
          <w:numId w:val="2"/>
        </w:numPr>
        <w:spacing w:after="80"/>
      </w:pPr>
      <w:r>
        <w:t xml:space="preserve">A winning neuron may own a natural cluster that traces to several distinct </w:t>
      </w:r>
      <w:proofErr w:type="spellStart"/>
      <w:r>
        <w:t>geobodies</w:t>
      </w:r>
      <w:proofErr w:type="spellEnd"/>
      <w:r>
        <w:t xml:space="preserve"> (a result of stacking in attribute space; a single winning neuron may correspond to 2, 8, 20, or even 100 separate </w:t>
      </w:r>
      <w:proofErr w:type="spellStart"/>
      <w:r>
        <w:t>geobodies</w:t>
      </w:r>
      <w:proofErr w:type="spellEnd"/>
      <w:r>
        <w:t>).</w:t>
      </w:r>
    </w:p>
    <w:p w14:paraId="3746C9E9" w14:textId="77777777" w:rsidR="00902F67" w:rsidRDefault="00B03082">
      <w:pPr>
        <w:pStyle w:val="ListParagraph"/>
        <w:numPr>
          <w:ilvl w:val="0"/>
          <w:numId w:val="2"/>
        </w:numPr>
        <w:spacing w:after="80"/>
      </w:pPr>
      <w:r>
        <w:t xml:space="preserve">A winning neuron may own a natural cluster that traces to only a portion of a larger </w:t>
      </w:r>
      <w:proofErr w:type="spellStart"/>
      <w:r>
        <w:t>geobody</w:t>
      </w:r>
      <w:proofErr w:type="spellEnd"/>
      <w:r>
        <w:t xml:space="preserve"> (for example, different parts of a meandering channel, such as the straight reach, the meander bends, the cut bank, and the fill bank, may each illuminate differently and map to different winning neurons).</w:t>
      </w:r>
    </w:p>
    <w:p w14:paraId="31BCCF54" w14:textId="77777777" w:rsidR="00902F67" w:rsidRDefault="00B03082">
      <w:pPr>
        <w:pStyle w:val="ListParagraph"/>
        <w:numPr>
          <w:ilvl w:val="0"/>
          <w:numId w:val="2"/>
        </w:numPr>
        <w:spacing w:after="80"/>
      </w:pPr>
      <w:r>
        <w:t>A winning neuron may become an "orphan" during training, ending up with no associated samples at the end of the process; this is not necessarily an error, simply an outcome of training.</w:t>
      </w:r>
    </w:p>
    <w:p w14:paraId="336AA1A2" w14:textId="77777777" w:rsidR="00902F67" w:rsidRDefault="00B03082">
      <w:pPr>
        <w:pStyle w:val="ListParagraph"/>
        <w:numPr>
          <w:ilvl w:val="0"/>
          <w:numId w:val="2"/>
        </w:numPr>
        <w:spacing w:after="80"/>
      </w:pPr>
      <w:r>
        <w:t>A winning neuron may be associated purely with random noise fluctuations, since every sample (including pure noise) is assigned to some winning neuron during classification.</w:t>
      </w:r>
    </w:p>
    <w:p w14:paraId="1CC78EB5" w14:textId="77777777" w:rsidR="00902F67" w:rsidRDefault="00B03082">
      <w:pPr>
        <w:pStyle w:val="Heading2"/>
        <w:spacing w:before="320" w:after="140"/>
      </w:pPr>
      <w:r>
        <w:rPr>
          <w:rFonts w:ascii="Noto Sans Semibold" w:eastAsia="Noto Sans Semibold" w:hAnsi="Noto Sans Semibold" w:cs="Noto Sans Semibold"/>
          <w:b/>
          <w:bCs/>
          <w:color w:val="0080A8"/>
          <w:sz w:val="30"/>
          <w:szCs w:val="30"/>
        </w:rPr>
        <w:t>Summary</w:t>
      </w:r>
    </w:p>
    <w:p w14:paraId="2EBA7AD7" w14:textId="77777777" w:rsidR="00902F67" w:rsidRDefault="00B03082">
      <w:pPr>
        <w:spacing w:after="160"/>
      </w:pPr>
      <w:r>
        <w:t xml:space="preserve">This presentation reviewed the relationships between survey space, attribute space, and topology space. Data sample proximity to neurons helps define </w:t>
      </w:r>
      <w:proofErr w:type="spellStart"/>
      <w:r>
        <w:t>geobodies</w:t>
      </w:r>
      <w:proofErr w:type="spellEnd"/>
      <w:r>
        <w:t xml:space="preserve"> and the probability that a given data point is well associated with its winning neuron. It was also established that a machine learning algorithm that is faster than others on one dataset will not necessarily be faster for all datasets; different algorithms carry different advantages and disadvantages depending on the specific problem being addressed.</w:t>
      </w:r>
    </w:p>
    <w:sectPr w:rsidR="00902F67">
      <w:headerReference w:type="default" r:id="rId8"/>
      <w:footerReference w:type="default" r:id="rId9"/>
      <w:pgSz w:w="12240" w:h="15840"/>
      <w:pgMar w:top="1080" w:right="1260" w:bottom="1080" w:left="126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5AE80B" w14:textId="77777777" w:rsidR="00B03082" w:rsidRDefault="00B03082">
      <w:r>
        <w:separator/>
      </w:r>
    </w:p>
  </w:endnote>
  <w:endnote w:type="continuationSeparator" w:id="0">
    <w:p w14:paraId="73E16CA8" w14:textId="77777777" w:rsidR="00B03082" w:rsidRDefault="00B030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w:charset w:val="00"/>
    <w:family w:val="swiss"/>
    <w:pitch w:val="variable"/>
    <w:sig w:usb0="E00082FF" w:usb1="400078FF" w:usb2="00000021" w:usb3="00000000" w:csb0="0000019F" w:csb1="00000000"/>
  </w:font>
  <w:font w:name="Times New Roman">
    <w:panose1 w:val="02020603050405020304"/>
    <w:charset w:val="00"/>
    <w:family w:val="roman"/>
    <w:pitch w:val="variable"/>
    <w:sig w:usb0="E0002EFF" w:usb1="C000785B" w:usb2="00000009" w:usb3="00000000" w:csb0="000001FF" w:csb1="00000000"/>
  </w:font>
  <w:font w:name="Noto Sans Semibold">
    <w:altName w:val="Cambria"/>
    <w:panose1 w:val="00000000000000000000"/>
    <w:charset w:val="00"/>
    <w:family w:val="roman"/>
    <w:notTrueType/>
    <w:pitch w:val="default"/>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7FE919" w14:textId="77777777" w:rsidR="00902F67" w:rsidRDefault="00B03082">
    <w:pPr>
      <w:jc w:val="center"/>
    </w:pPr>
    <w:r>
      <w:rPr>
        <w:sz w:val="16"/>
        <w:szCs w:val="16"/>
      </w:rPr>
      <w:t xml:space="preserve">Page </w:t>
    </w:r>
    <w:r>
      <w:rPr>
        <w:sz w:val="16"/>
        <w:szCs w:val="16"/>
      </w:rPr>
      <w:fldChar w:fldCharType="begin"/>
    </w:r>
    <w:r>
      <w:rPr>
        <w:sz w:val="16"/>
        <w:szCs w:val="16"/>
      </w:rPr>
      <w:instrText>PAGE</w:instrText>
    </w:r>
    <w:r>
      <w:rPr>
        <w:sz w:val="16"/>
        <w:szCs w:val="16"/>
      </w:rPr>
      <w:fldChar w:fldCharType="separate"/>
    </w:r>
    <w:r w:rsidR="001D5DCF">
      <w:rPr>
        <w:noProof/>
        <w:sz w:val="16"/>
        <w:szCs w:val="16"/>
      </w:rPr>
      <w:t>1</w:t>
    </w:r>
    <w:r>
      <w:rPr>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B21592" w14:textId="77777777" w:rsidR="00B03082" w:rsidRDefault="00B03082">
      <w:r>
        <w:separator/>
      </w:r>
    </w:p>
  </w:footnote>
  <w:footnote w:type="continuationSeparator" w:id="0">
    <w:p w14:paraId="44B09B75" w14:textId="77777777" w:rsidR="00B03082" w:rsidRDefault="00B0308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4CD7AA" w14:textId="77777777" w:rsidR="00902F67" w:rsidRDefault="00B03082">
    <w:pPr>
      <w:pBdr>
        <w:bottom w:val="single" w:sz="6" w:space="4" w:color="F7941D"/>
      </w:pBdr>
      <w:jc w:val="right"/>
    </w:pPr>
    <w:r>
      <w:rPr>
        <w:rFonts w:ascii="Noto Sans Semibold" w:eastAsia="Noto Sans Semibold" w:hAnsi="Noto Sans Semibold" w:cs="Noto Sans Semibold"/>
        <w:b/>
        <w:bCs/>
        <w:color w:val="005563"/>
        <w:sz w:val="16"/>
        <w:szCs w:val="16"/>
      </w:rPr>
      <w:t>GEOPHYSICAL INSIGHTS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A647113"/>
    <w:multiLevelType w:val="hybridMultilevel"/>
    <w:tmpl w:val="6BE0D3D8"/>
    <w:lvl w:ilvl="0" w:tplc="8D684B3C">
      <w:start w:val="1"/>
      <w:numFmt w:val="bullet"/>
      <w:lvlText w:val="●"/>
      <w:lvlJc w:val="left"/>
      <w:pPr>
        <w:ind w:left="720" w:hanging="360"/>
      </w:pPr>
    </w:lvl>
    <w:lvl w:ilvl="1" w:tplc="B46E79DA">
      <w:start w:val="1"/>
      <w:numFmt w:val="bullet"/>
      <w:lvlText w:val="○"/>
      <w:lvlJc w:val="left"/>
      <w:pPr>
        <w:ind w:left="1440" w:hanging="360"/>
      </w:pPr>
    </w:lvl>
    <w:lvl w:ilvl="2" w:tplc="2A3E15F4">
      <w:start w:val="1"/>
      <w:numFmt w:val="bullet"/>
      <w:lvlText w:val="■"/>
      <w:lvlJc w:val="left"/>
      <w:pPr>
        <w:ind w:left="2160" w:hanging="360"/>
      </w:pPr>
    </w:lvl>
    <w:lvl w:ilvl="3" w:tplc="B7CCBDA2">
      <w:start w:val="1"/>
      <w:numFmt w:val="bullet"/>
      <w:lvlText w:val="●"/>
      <w:lvlJc w:val="left"/>
      <w:pPr>
        <w:ind w:left="2880" w:hanging="360"/>
      </w:pPr>
    </w:lvl>
    <w:lvl w:ilvl="4" w:tplc="95F2D44E">
      <w:start w:val="1"/>
      <w:numFmt w:val="bullet"/>
      <w:lvlText w:val="○"/>
      <w:lvlJc w:val="left"/>
      <w:pPr>
        <w:ind w:left="3600" w:hanging="360"/>
      </w:pPr>
    </w:lvl>
    <w:lvl w:ilvl="5" w:tplc="7500DF26">
      <w:start w:val="1"/>
      <w:numFmt w:val="bullet"/>
      <w:lvlText w:val="■"/>
      <w:lvlJc w:val="left"/>
      <w:pPr>
        <w:ind w:left="4320" w:hanging="360"/>
      </w:pPr>
    </w:lvl>
    <w:lvl w:ilvl="6" w:tplc="779AAB14">
      <w:start w:val="1"/>
      <w:numFmt w:val="bullet"/>
      <w:lvlText w:val="●"/>
      <w:lvlJc w:val="left"/>
      <w:pPr>
        <w:ind w:left="5040" w:hanging="360"/>
      </w:pPr>
    </w:lvl>
    <w:lvl w:ilvl="7" w:tplc="C250F970">
      <w:start w:val="1"/>
      <w:numFmt w:val="bullet"/>
      <w:lvlText w:val="●"/>
      <w:lvlJc w:val="left"/>
      <w:pPr>
        <w:ind w:left="5760" w:hanging="360"/>
      </w:pPr>
    </w:lvl>
    <w:lvl w:ilvl="8" w:tplc="EDC09954">
      <w:start w:val="1"/>
      <w:numFmt w:val="bullet"/>
      <w:lvlText w:val="●"/>
      <w:lvlJc w:val="left"/>
      <w:pPr>
        <w:ind w:left="6480" w:hanging="360"/>
      </w:pPr>
    </w:lvl>
  </w:abstractNum>
  <w:abstractNum w:abstractNumId="1" w15:restartNumberingAfterBreak="0">
    <w:nsid w:val="59F25D7C"/>
    <w:multiLevelType w:val="hybridMultilevel"/>
    <w:tmpl w:val="31D8AA96"/>
    <w:lvl w:ilvl="0" w:tplc="AEEC2814">
      <w:start w:val="1"/>
      <w:numFmt w:val="decimal"/>
      <w:lvlText w:val="%1."/>
      <w:lvlJc w:val="left"/>
      <w:pPr>
        <w:ind w:left="460" w:hanging="260"/>
      </w:pPr>
    </w:lvl>
    <w:lvl w:ilvl="1" w:tplc="EBEC79C6">
      <w:numFmt w:val="decimal"/>
      <w:lvlText w:val=""/>
      <w:lvlJc w:val="left"/>
    </w:lvl>
    <w:lvl w:ilvl="2" w:tplc="403A4C10">
      <w:numFmt w:val="decimal"/>
      <w:lvlText w:val=""/>
      <w:lvlJc w:val="left"/>
    </w:lvl>
    <w:lvl w:ilvl="3" w:tplc="71E869D6">
      <w:numFmt w:val="decimal"/>
      <w:lvlText w:val=""/>
      <w:lvlJc w:val="left"/>
    </w:lvl>
    <w:lvl w:ilvl="4" w:tplc="99B43678">
      <w:numFmt w:val="decimal"/>
      <w:lvlText w:val=""/>
      <w:lvlJc w:val="left"/>
    </w:lvl>
    <w:lvl w:ilvl="5" w:tplc="ED22B676">
      <w:numFmt w:val="decimal"/>
      <w:lvlText w:val=""/>
      <w:lvlJc w:val="left"/>
    </w:lvl>
    <w:lvl w:ilvl="6" w:tplc="5260BFDE">
      <w:numFmt w:val="decimal"/>
      <w:lvlText w:val=""/>
      <w:lvlJc w:val="left"/>
    </w:lvl>
    <w:lvl w:ilvl="7" w:tplc="2AFC81EC">
      <w:numFmt w:val="decimal"/>
      <w:lvlText w:val=""/>
      <w:lvlJc w:val="left"/>
    </w:lvl>
    <w:lvl w:ilvl="8" w:tplc="C4A0C60A">
      <w:numFmt w:val="decimal"/>
      <w:lvlText w:val=""/>
      <w:lvlJc w:val="left"/>
    </w:lvl>
  </w:abstractNum>
  <w:num w:numId="1" w16cid:durableId="444467429">
    <w:abstractNumId w:val="0"/>
    <w:lvlOverride w:ilvl="0">
      <w:startOverride w:val="1"/>
    </w:lvlOverride>
  </w:num>
  <w:num w:numId="2" w16cid:durableId="1909878766">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02F67"/>
    <w:rsid w:val="000B1CE4"/>
    <w:rsid w:val="001D5DCF"/>
    <w:rsid w:val="00902F67"/>
    <w:rsid w:val="00B030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F745DB"/>
  <w15:docId w15:val="{C9395409-50DE-405F-ADCE-B5E9AEB78B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Noto Sans" w:eastAsia="Noto Sans" w:hAnsi="Noto Sans" w:cs="Noto Sans"/>
        <w:color w:val="404040"/>
        <w:sz w:val="21"/>
        <w:szCs w:val="21"/>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unhideWhenUsed/>
    <w:qFormat/>
    <w:pPr>
      <w:outlineLvl w:val="1"/>
    </w:pPr>
    <w:rPr>
      <w:color w:val="2E74B5"/>
      <w:sz w:val="26"/>
      <w:szCs w:val="26"/>
    </w:rPr>
  </w:style>
  <w:style w:type="paragraph" w:styleId="Heading3">
    <w:name w:val="heading 3"/>
    <w:uiPriority w:val="9"/>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FB94C3D7D18404EB9EDA34C6F643902" ma:contentTypeVersion="15" ma:contentTypeDescription="Create a new document." ma:contentTypeScope="" ma:versionID="ca6ba3b48d9581b84c0de19bcc588663">
  <xsd:schema xmlns:xsd="http://www.w3.org/2001/XMLSchema" xmlns:xs="http://www.w3.org/2001/XMLSchema" xmlns:p="http://schemas.microsoft.com/office/2006/metadata/properties" xmlns:ns1="http://schemas.microsoft.com/sharepoint/v3" xmlns:ns2="a3793cd3-aa5e-49d4-8076-3e0ba460a571" xmlns:ns3="302211b4-3052-46c5-b506-1b7ac79c3352" targetNamespace="http://schemas.microsoft.com/office/2006/metadata/properties" ma:root="true" ma:fieldsID="7ebc9b5001758982902010b4b2617f7c" ns1:_="" ns2:_="" ns3:_="">
    <xsd:import namespace="http://schemas.microsoft.com/sharepoint/v3"/>
    <xsd:import namespace="a3793cd3-aa5e-49d4-8076-3e0ba460a571"/>
    <xsd:import namespace="302211b4-3052-46c5-b506-1b7ac79c335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1" nillable="true" ma:displayName="Unified Compliance Policy Properties" ma:hidden="true" ma:internalName="_ip_UnifiedCompliancePolicyProperties">
      <xsd:simpleType>
        <xsd:restriction base="dms:Note"/>
      </xsd:simpleType>
    </xsd:element>
    <xsd:element name="_ip_UnifiedCompliancePolicyUIAction" ma:index="22"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3793cd3-aa5e-49d4-8076-3e0ba460a57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a061820c-3b27-4bf0-98ef-7304ee484e65"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19" nillable="true" ma:displayName="Location" ma:indexed="true" ma:internalName="MediaServiceLocation" ma:readOnly="true">
      <xsd:simpleType>
        <xsd:restriction base="dms:Text"/>
      </xsd:simpleType>
    </xsd:element>
    <xsd:element name="MediaServiceBillingMetadata" ma:index="20"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02211b4-3052-46c5-b506-1b7ac79c3352"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6b368d5c-8a3e-4219-9b50-2a70c44fcf40}" ma:internalName="TaxCatchAll" ma:showField="CatchAllData" ma:web="302211b4-3052-46c5-b506-1b7ac79c335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TaxCatchAll xmlns="302211b4-3052-46c5-b506-1b7ac79c3352" xsi:nil="true"/>
    <_ip_UnifiedCompliancePolicyProperties xmlns="http://schemas.microsoft.com/sharepoint/v3" xsi:nil="true"/>
    <lcf76f155ced4ddcb4097134ff3c332f xmlns="a3793cd3-aa5e-49d4-8076-3e0ba460a571">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0950C9DC-FE18-45ED-AD7C-836C8FD72AF4}"/>
</file>

<file path=customXml/itemProps2.xml><?xml version="1.0" encoding="utf-8"?>
<ds:datastoreItem xmlns:ds="http://schemas.openxmlformats.org/officeDocument/2006/customXml" ds:itemID="{9D612C3D-D5F7-4F06-93BE-129B0418118F}"/>
</file>

<file path=customXml/itemProps3.xml><?xml version="1.0" encoding="utf-8"?>
<ds:datastoreItem xmlns:ds="http://schemas.openxmlformats.org/officeDocument/2006/customXml" ds:itemID="{2691D85B-830D-4821-914C-53547FC4F943}"/>
</file>

<file path=docProps/app.xml><?xml version="1.0" encoding="utf-8"?>
<Properties xmlns="http://schemas.openxmlformats.org/officeDocument/2006/extended-properties" xmlns:vt="http://schemas.openxmlformats.org/officeDocument/2006/docPropsVTypes">
  <Template>Normal.dotm</Template>
  <TotalTime>0</TotalTime>
  <Pages>5</Pages>
  <Words>1641</Words>
  <Characters>9356</Characters>
  <Application>Microsoft Office Word</Application>
  <DocSecurity>0</DocSecurity>
  <Lines>77</Lines>
  <Paragraphs>21</Paragraphs>
  <ScaleCrop>false</ScaleCrop>
  <Company/>
  <LinksUpToDate>false</LinksUpToDate>
  <CharactersWithSpaces>10976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Sarah Graviss</cp:lastModifiedBy>
  <cp:revision>2</cp:revision>
  <dcterms:created xsi:type="dcterms:W3CDTF">2026-08-05T19:05:00Z</dcterms:created>
  <dcterms:modified xsi:type="dcterms:W3CDTF">2026-08-05T19:05:00Z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0x010100CFB94C3D7D18404EB9EDA34C6F643902</vt:lpwstr>
  </property>
</Properties>
</file>