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BF627" w14:textId="77777777" w:rsidR="006A6367" w:rsidRDefault="00147329">
      <w:pPr>
        <w:spacing w:before="400" w:after="500"/>
      </w:pPr>
      <w:r>
        <w:rPr>
          <w:noProof/>
        </w:rPr>
        <w:drawing>
          <wp:inline distT="0" distB="0" distL="0" distR="0" wp14:anchorId="26AE9B09" wp14:editId="137E7DFE">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5A3F1A45" w14:textId="77777777" w:rsidR="006A6367" w:rsidRDefault="00147329">
      <w:pPr>
        <w:spacing w:before="800" w:after="120"/>
      </w:pPr>
      <w:r>
        <w:rPr>
          <w:rFonts w:ascii="Noto Sans Semibold" w:eastAsia="Noto Sans Semibold" w:hAnsi="Noto Sans Semibold" w:cs="Noto Sans Semibold"/>
          <w:b/>
          <w:bCs/>
          <w:color w:val="005563"/>
          <w:sz w:val="56"/>
          <w:szCs w:val="56"/>
        </w:rPr>
        <w:t>Self-Organizing Assemblages, Part 2</w:t>
      </w:r>
    </w:p>
    <w:p w14:paraId="41DFBCAE" w14:textId="77777777" w:rsidR="006A6367" w:rsidRDefault="006A6367">
      <w:pPr>
        <w:pBdr>
          <w:bottom w:val="single" w:sz="18" w:space="8" w:color="F7941D"/>
        </w:pBdr>
        <w:spacing w:after="300"/>
      </w:pPr>
    </w:p>
    <w:p w14:paraId="3F564377" w14:textId="77777777" w:rsidR="006A6367" w:rsidRDefault="00147329">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6B67076A" w14:textId="77777777" w:rsidR="006A6367" w:rsidRDefault="00147329">
      <w:r>
        <w:br w:type="page"/>
      </w:r>
    </w:p>
    <w:p w14:paraId="6A946FE1"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5B950D0A" w14:textId="77777777" w:rsidR="006A6367" w:rsidRDefault="00147329">
      <w:pPr>
        <w:spacing w:after="160"/>
      </w:pPr>
      <w:r>
        <w:t>This presentation reviews some of Tom's early work with SOMs. Principal Component Analysis (PCA) is discussed, and SOM is described as a density-preserving, dimensionality-reducing algorithm. An Earth-to-Earth model concept is presented, along with simple hand exercises, and SOM is compared to deep learning.</w:t>
      </w:r>
    </w:p>
    <w:p w14:paraId="00220D9B"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 xml:space="preserve">Early SOM Work: </w:t>
      </w:r>
      <w:proofErr w:type="spellStart"/>
      <w:r>
        <w:rPr>
          <w:rFonts w:ascii="Noto Sans Semibold" w:eastAsia="Noto Sans Semibold" w:hAnsi="Noto Sans Semibold" w:cs="Noto Sans Semibold"/>
          <w:b/>
          <w:bCs/>
          <w:color w:val="0080A8"/>
          <w:sz w:val="30"/>
          <w:szCs w:val="30"/>
        </w:rPr>
        <w:t>Amolgek</w:t>
      </w:r>
      <w:proofErr w:type="spellEnd"/>
      <w:r>
        <w:rPr>
          <w:rFonts w:ascii="Noto Sans Semibold" w:eastAsia="Noto Sans Semibold" w:hAnsi="Noto Sans Semibold" w:cs="Noto Sans Semibold"/>
          <w:b/>
          <w:bCs/>
          <w:color w:val="0080A8"/>
          <w:sz w:val="30"/>
          <w:szCs w:val="30"/>
        </w:rPr>
        <w:t xml:space="preserve"> Survey, February 2009</w:t>
      </w:r>
    </w:p>
    <w:p w14:paraId="3570A609" w14:textId="77777777" w:rsidR="006A6367" w:rsidRDefault="00147329">
      <w:pPr>
        <w:spacing w:after="160"/>
      </w:pPr>
      <w:r>
        <w:t xml:space="preserve">On February 9, 2009, the presenter captured his very first SOM calculations to test whether the method worked. The dataset was the </w:t>
      </w:r>
      <w:proofErr w:type="spellStart"/>
      <w:r>
        <w:t>Amolgek</w:t>
      </w:r>
      <w:proofErr w:type="spellEnd"/>
      <w:r>
        <w:t xml:space="preserve"> survey, an old GSI survey in the Northwest Territory of Northern Canada, displayed at the time with primitive VGA graphics and 13 colors.</w:t>
      </w:r>
    </w:p>
    <w:p w14:paraId="3D9E7FFD" w14:textId="77777777" w:rsidR="006A6367" w:rsidRDefault="00147329">
      <w:pPr>
        <w:spacing w:after="160"/>
      </w:pPr>
      <w:r>
        <w:t>The SOM training used 13 attributes, an 8x8 hexagonal neuron topology, and ran for 100 epochs. After training, the classification result was found to track geology, which was described as a eureka moment: the seismic reflections were being tracked by machine learning.</w:t>
      </w:r>
    </w:p>
    <w:p w14:paraId="04A0D12C"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Stratton Field Early Results</w:t>
      </w:r>
    </w:p>
    <w:p w14:paraId="28854AAB" w14:textId="77777777" w:rsidR="006A6367" w:rsidRDefault="00147329">
      <w:pPr>
        <w:spacing w:after="160"/>
      </w:pPr>
      <w:r>
        <w:t>A line through a well at Stratton Field showed an amplitude display alongside SP and gamma ray logs, with formation tops annotated. Two key formation tops, C38 (a flooding surface) and F11 (both peak events), bracket the interval containing the Middle Frio, an interfingering fluvial sand sequence at Stratton Field that is difficult to correlate. A synthetic seismogram, drawn in white, tied reasonably well to the section.</w:t>
      </w:r>
    </w:p>
    <w:p w14:paraId="1C8E591E" w14:textId="77777777" w:rsidR="006A6367" w:rsidRDefault="00147329">
      <w:pPr>
        <w:spacing w:after="160"/>
      </w:pPr>
      <w:r>
        <w:t>The SOM classification tracked the C38 and F11 reflections reasonably well below about 1.3 to 1.35 seconds, though not perfectly (some noisy artifacts such as small green blobs and vertical streaks appeared). Despite imperfections, the classification's ability to track geology was considered a significant result. A three-dimensional perspective view of the Stratton 11 volume, with a time slice near E49, showed lateral continuity of the classification.</w:t>
      </w:r>
    </w:p>
    <w:p w14:paraId="1BFD82F5"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Principal Component Analysis (PCA) and Density Preservation</w:t>
      </w:r>
    </w:p>
    <w:p w14:paraId="6795A72D" w14:textId="77777777" w:rsidR="006A6367" w:rsidRDefault="00147329">
      <w:pPr>
        <w:spacing w:after="160"/>
      </w:pPr>
      <w:r>
        <w:t>To visualize natural clusters in high-dimensional attribute space (in this case, 50 dimensions), the presenter used standard PCA to project the data down to two dimensions, displayed as a two-dimensional histogram (color-coded by sample count per bin, from zero up to 143 samples in the densest bin). Reducing from 50 dimensions to 2 is an aggressive simplification, and much structure that exists in 50 dimensions is not visible in the 2D projection.</w:t>
      </w:r>
    </w:p>
    <w:p w14:paraId="733B4FB2" w14:textId="77777777" w:rsidR="006A6367" w:rsidRDefault="00147329">
      <w:pPr>
        <w:spacing w:after="160"/>
      </w:pPr>
      <w:r>
        <w:t xml:space="preserve">The white markers overlaid on the histogram represent the projected positions of the winning neurons after training. Their density closely follows the density of the underlying samples: higher sample density corresponds to a higher concentration of winning neurons, and lower sample density to fewer neurons. This illustrates an important property of SOM: it is a density-preserving dimensionality-reduction algorithm. More neurons occupy regions with more data, and fewer neurons occupy regions with less data. </w:t>
      </w:r>
      <w:r>
        <w:t>This property is valuable in the seismic world.</w:t>
      </w:r>
    </w:p>
    <w:p w14:paraId="456D6483"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Offshore 2D Example: Bayana Line</w:t>
      </w:r>
    </w:p>
    <w:p w14:paraId="10B5D161" w14:textId="77777777" w:rsidR="006A6367" w:rsidRDefault="00147329">
      <w:pPr>
        <w:spacing w:after="160"/>
      </w:pPr>
      <w:r>
        <w:t xml:space="preserve">Using a 2D seismic line offshore Bayana (data provided by Bob Burnth), various depositional patterns are visible below the water bottom, along with an unconformity and several faults. The </w:t>
      </w:r>
      <w:r>
        <w:lastRenderedPageBreak/>
        <w:t>SOM classification, trained and applied only to live (non-muted) samples, identified packets of reflections associated with fault features and other stratigraphic patterns.</w:t>
      </w:r>
    </w:p>
    <w:p w14:paraId="2A2E3D46" w14:textId="77777777" w:rsidR="006A6367" w:rsidRDefault="00147329">
      <w:pPr>
        <w:spacing w:after="160"/>
      </w:pPr>
      <w:r>
        <w:t xml:space="preserve">Comparing a zoomed section with wiggle-trace/variable-area overlay to the SOM classification, several sequence-stratigraphic features are more readily interpreted in the SOM display: an erosional surface (where reflections are visibly truncated), a hint of a deeper erosional surface, </w:t>
      </w:r>
      <w:proofErr w:type="spellStart"/>
      <w:r>
        <w:t>downlap</w:t>
      </w:r>
      <w:proofErr w:type="spellEnd"/>
      <w:r>
        <w:t xml:space="preserve"> and concordant reflections, and a probable slump feature with discordant reflections. The presenter noted that neither the amplitude display nor the SOM display is a universally superior interpretation tool; each has value, and combining wiggle-trace overlay with SOM classification can be useful.</w:t>
      </w:r>
    </w:p>
    <w:p w14:paraId="4AF16166"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The Earth-to-Earth Model</w:t>
      </w:r>
    </w:p>
    <w:p w14:paraId="29325E06" w14:textId="77777777" w:rsidR="006A6367" w:rsidRDefault="00147329">
      <w:pPr>
        <w:spacing w:after="160"/>
      </w:pPr>
      <w:r>
        <w:t>The Earth-to-Earth model concept proceeds as follows:</w:t>
      </w:r>
    </w:p>
    <w:p w14:paraId="0C4DC91A" w14:textId="77777777" w:rsidR="006A6367" w:rsidRDefault="00147329">
      <w:pPr>
        <w:pStyle w:val="ListParagraph"/>
        <w:numPr>
          <w:ilvl w:val="0"/>
          <w:numId w:val="2"/>
        </w:numPr>
        <w:spacing w:after="80"/>
      </w:pPr>
      <w:r>
        <w:t>Start with the Earth and collect a 3D survey.</w:t>
      </w:r>
    </w:p>
    <w:p w14:paraId="1F289169" w14:textId="77777777" w:rsidR="006A6367" w:rsidRDefault="00147329">
      <w:pPr>
        <w:pStyle w:val="ListParagraph"/>
        <w:numPr>
          <w:ilvl w:val="0"/>
          <w:numId w:val="2"/>
        </w:numPr>
        <w:spacing w:after="80"/>
      </w:pPr>
      <w:r>
        <w:t>Compute attributes from the survey; every data sample becomes a vector (a fixed point) in attribute space, with as many components as the number of attributes selected.</w:t>
      </w:r>
    </w:p>
    <w:p w14:paraId="725F2E00" w14:textId="77777777" w:rsidR="006A6367" w:rsidRDefault="00147329">
      <w:pPr>
        <w:pStyle w:val="ListParagraph"/>
        <w:numPr>
          <w:ilvl w:val="0"/>
          <w:numId w:val="2"/>
        </w:numPr>
        <w:spacing w:after="80"/>
      </w:pPr>
      <w:r>
        <w:t>Natural clusters in attribute space are noisy images of geologic features, since band-limited seismic data, noise, and imperfect processing (migration, velocities, statics) distort the mapping from Earth to attribute space.</w:t>
      </w:r>
    </w:p>
    <w:p w14:paraId="4874B36E" w14:textId="77777777" w:rsidR="006A6367" w:rsidRDefault="00147329">
      <w:pPr>
        <w:pStyle w:val="ListParagraph"/>
        <w:numPr>
          <w:ilvl w:val="0"/>
          <w:numId w:val="2"/>
        </w:numPr>
        <w:spacing w:after="80"/>
      </w:pPr>
      <w:r>
        <w:t>Training samples remain fixed in attribute space; neurons are injected into attribute space and moved by the machine learning algorithm to seek natural clusters, stopping once error no longer decreases meaningfully.</w:t>
      </w:r>
    </w:p>
    <w:p w14:paraId="40145F7F" w14:textId="77777777" w:rsidR="006A6367" w:rsidRDefault="00147329">
      <w:pPr>
        <w:pStyle w:val="ListParagraph"/>
        <w:numPr>
          <w:ilvl w:val="0"/>
          <w:numId w:val="2"/>
        </w:numPr>
        <w:spacing w:after="80"/>
      </w:pPr>
      <w:r>
        <w:t>All samples are classified. Because the machine learning process performs dimensionality reduction, the Kohonen SOM map can be viewed, and from the classification an Earth model of geologic features can be rebuilt and displayed in a three-dimensional viewer.</w:t>
      </w:r>
    </w:p>
    <w:p w14:paraId="68A0717D" w14:textId="77777777" w:rsidR="006A6367" w:rsidRDefault="00147329">
      <w:pPr>
        <w:spacing w:after="160"/>
      </w:pPr>
      <w:r>
        <w:t xml:space="preserve">This dimensionality reduction effectively auto-picks </w:t>
      </w:r>
      <w:proofErr w:type="spellStart"/>
      <w:r>
        <w:t>geobodies</w:t>
      </w:r>
      <w:proofErr w:type="spellEnd"/>
      <w:r>
        <w:t xml:space="preserve"> into a 3D volume for seismic interpretation, though the picking is imperfect: it sometimes picks noise or natural clusters without clear geologic meaning. A natural cluster in attribute space represents a set of samples with very similar attribute value combinations.</w:t>
      </w:r>
    </w:p>
    <w:p w14:paraId="6E2EA6E4" w14:textId="77777777" w:rsidR="006A6367" w:rsidRDefault="00147329">
      <w:pPr>
        <w:pStyle w:val="Heading3"/>
        <w:spacing w:before="240" w:after="100"/>
      </w:pPr>
      <w:r>
        <w:rPr>
          <w:rFonts w:ascii="Noto Sans Semibold" w:eastAsia="Noto Sans Semibold" w:hAnsi="Noto Sans Semibold" w:cs="Noto Sans Semibold"/>
          <w:b/>
          <w:bCs/>
          <w:color w:val="005563"/>
        </w:rPr>
        <w:t>Attribute Selection List as an Illumination Function</w:t>
      </w:r>
    </w:p>
    <w:p w14:paraId="0EC57AE8" w14:textId="77777777" w:rsidR="006A6367" w:rsidRDefault="00147329">
      <w:pPr>
        <w:spacing w:after="160"/>
      </w:pPr>
      <w:r>
        <w:t xml:space="preserve">The choice of attributes used (the attribute selection list) acts as an illumination function, determining how </w:t>
      </w:r>
      <w:proofErr w:type="spellStart"/>
      <w:r>
        <w:t>geobodies</w:t>
      </w:r>
      <w:proofErr w:type="spellEnd"/>
      <w:r>
        <w:t xml:space="preserve"> from the real Earth appear in attribute space. A natural cluster in attribute space is an illuminated image of a </w:t>
      </w:r>
      <w:proofErr w:type="spellStart"/>
      <w:r>
        <w:t>geobody</w:t>
      </w:r>
      <w:proofErr w:type="spellEnd"/>
      <w:r>
        <w:t xml:space="preserve"> as defined by the chosen attribute selection list. A single natural cluster may correspond to hundreds or thousands of samples, potentially representing many separate </w:t>
      </w:r>
      <w:proofErr w:type="spellStart"/>
      <w:r>
        <w:t>geobodies</w:t>
      </w:r>
      <w:proofErr w:type="spellEnd"/>
      <w:r>
        <w:t xml:space="preserve"> (for example, 20 </w:t>
      </w:r>
      <w:proofErr w:type="spellStart"/>
      <w:r>
        <w:t>geobodies</w:t>
      </w:r>
      <w:proofErr w:type="spellEnd"/>
      <w:r>
        <w:t xml:space="preserve">) that all happen to stack into the same location in attribute space. This stacking is why a single winning neuron can "light up" multiple </w:t>
      </w:r>
      <w:proofErr w:type="spellStart"/>
      <w:r>
        <w:t>geobodies</w:t>
      </w:r>
      <w:proofErr w:type="spellEnd"/>
      <w:r>
        <w:t xml:space="preserve"> in the Earth model.</w:t>
      </w:r>
    </w:p>
    <w:p w14:paraId="4908D658"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Hand Exercises</w:t>
      </w:r>
    </w:p>
    <w:p w14:paraId="7313D36B" w14:textId="77777777" w:rsidR="006A6367" w:rsidRDefault="00147329">
      <w:pPr>
        <w:spacing w:after="160"/>
      </w:pPr>
      <w:r>
        <w:rPr>
          <w:b/>
          <w:bCs/>
          <w:color w:val="005563"/>
        </w:rPr>
        <w:t>Exercise 1:</w:t>
      </w:r>
      <w:r>
        <w:t xml:space="preserve"> Two data samples, D1 and D2, and two neurons, N1 and N2. Using a printed copy of the exercise and a ruler, measure the distance from N1 to D1 and from N1 to D2 (and similarly for N2), identify the winning neuron (smallest distance) for each data sample, then move the winning </w:t>
      </w:r>
      <w:r>
        <w:lastRenderedPageBreak/>
        <w:t>neuron one-third of the distance toward its data sample. The exercise demonstrates the basic movement rule step by step.</w:t>
      </w:r>
    </w:p>
    <w:p w14:paraId="5AA2ADD3" w14:textId="77777777" w:rsidR="006A6367" w:rsidRDefault="00147329">
      <w:pPr>
        <w:spacing w:after="160"/>
      </w:pPr>
      <w:r>
        <w:rPr>
          <w:b/>
          <w:bCs/>
          <w:color w:val="005563"/>
        </w:rPr>
        <w:t>Exercise 2:</w:t>
      </w:r>
      <w:r>
        <w:t xml:space="preserve"> Two neurons (N1 and N2) and three data samples (D1, D2, D3). This extends Exercise 1 to see how the presence of a third data sample changes which neurons move and by how much.</w:t>
      </w:r>
    </w:p>
    <w:p w14:paraId="2DF35E88"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Review: Hebbian Learning and Activation Functions</w:t>
      </w:r>
    </w:p>
    <w:p w14:paraId="6C7E49F1" w14:textId="77777777" w:rsidR="006A6367" w:rsidRDefault="00147329">
      <w:pPr>
        <w:spacing w:after="160"/>
      </w:pPr>
      <w:r>
        <w:t>A quick review of the biological analogy for a neuron: dendrites (inputs), nucleus, myelin sheath, and axon terminal (outputs). In the mathematical model, a set of weighted input synapses is summed, then passed through an activation function to produce an output. The weights are what get adjusted during training. The activation function bounds the summed result into a standard numerical range.</w:t>
      </w:r>
    </w:p>
    <w:p w14:paraId="43E787C7" w14:textId="77777777" w:rsidR="006A6367" w:rsidRDefault="00147329">
      <w:pPr>
        <w:spacing w:after="160"/>
      </w:pPr>
      <w:r>
        <w:rPr>
          <w:b/>
          <w:bCs/>
          <w:color w:val="005563"/>
        </w:rPr>
        <w:t>Activation function examples:</w:t>
      </w:r>
    </w:p>
    <w:p w14:paraId="2450C66B" w14:textId="77777777" w:rsidR="006A6367" w:rsidRDefault="00147329">
      <w:pPr>
        <w:pStyle w:val="ListParagraph"/>
        <w:numPr>
          <w:ilvl w:val="0"/>
          <w:numId w:val="1"/>
        </w:numPr>
        <w:spacing w:after="80"/>
      </w:pPr>
      <w:r>
        <w:rPr>
          <w:b/>
          <w:bCs/>
          <w:color w:val="005563"/>
        </w:rPr>
        <w:t>Binary step:</w:t>
      </w:r>
      <w:r>
        <w:t xml:space="preserve"> output is zero below a threshold, one above it.</w:t>
      </w:r>
    </w:p>
    <w:p w14:paraId="49D8CAA4" w14:textId="77777777" w:rsidR="006A6367" w:rsidRDefault="00147329">
      <w:pPr>
        <w:pStyle w:val="ListParagraph"/>
        <w:numPr>
          <w:ilvl w:val="0"/>
          <w:numId w:val="1"/>
        </w:numPr>
        <w:spacing w:after="80"/>
      </w:pPr>
      <w:r>
        <w:rPr>
          <w:b/>
          <w:bCs/>
          <w:color w:val="005563"/>
        </w:rPr>
        <w:t>Logistic (sigmoid) function:</w:t>
      </w:r>
      <w:r>
        <w:t xml:space="preserve"> a smooth function, sigma(x) = 1 / (1 + e^-x). A more general form is F(x) = L / (1 + e^-</w:t>
      </w:r>
      <w:proofErr w:type="gramStart"/>
      <w:r>
        <w:t>k(</w:t>
      </w:r>
      <w:proofErr w:type="gramEnd"/>
      <w:r>
        <w:t>x - x0)), where L is the maximum value, k controls the steepness of the curve, and x0 is the midpoint (where the output equals half of L).</w:t>
      </w:r>
    </w:p>
    <w:p w14:paraId="1CE2D244" w14:textId="77777777" w:rsidR="006A6367" w:rsidRDefault="00147329">
      <w:pPr>
        <w:pStyle w:val="ListParagraph"/>
        <w:numPr>
          <w:ilvl w:val="0"/>
          <w:numId w:val="1"/>
        </w:numPr>
        <w:spacing w:after="80"/>
      </w:pPr>
      <w:r>
        <w:rPr>
          <w:b/>
          <w:bCs/>
          <w:color w:val="005563"/>
        </w:rPr>
        <w:t>Hyperbolic tangent function:</w:t>
      </w:r>
      <w:r>
        <w:t xml:space="preserve"> another popular smooth activation function.</w:t>
      </w:r>
    </w:p>
    <w:p w14:paraId="44A948A1" w14:textId="77777777" w:rsidR="006A6367" w:rsidRDefault="00147329">
      <w:pPr>
        <w:pStyle w:val="ListParagraph"/>
        <w:numPr>
          <w:ilvl w:val="0"/>
          <w:numId w:val="1"/>
        </w:numPr>
        <w:spacing w:after="80"/>
      </w:pPr>
      <w:proofErr w:type="spellStart"/>
      <w:r>
        <w:rPr>
          <w:b/>
          <w:bCs/>
          <w:color w:val="005563"/>
        </w:rPr>
        <w:t>Softmax</w:t>
      </w:r>
      <w:proofErr w:type="spellEnd"/>
      <w:r>
        <w:rPr>
          <w:b/>
          <w:bCs/>
          <w:color w:val="005563"/>
        </w:rPr>
        <w:t xml:space="preserve"> function:</w:t>
      </w:r>
      <w:r>
        <w:t xml:space="preserve"> a generalization of the logistic function to multiple dimensions (f-dimensional space, </w:t>
      </w:r>
      <w:proofErr w:type="gramStart"/>
      <w:r>
        <w:t>for f</w:t>
      </w:r>
      <w:proofErr w:type="gramEnd"/>
      <w:r>
        <w:t xml:space="preserve"> attributes). Each output component </w:t>
      </w:r>
      <w:proofErr w:type="gramStart"/>
      <w:r>
        <w:t>is e</w:t>
      </w:r>
      <w:proofErr w:type="gramEnd"/>
      <w:r>
        <w:t xml:space="preserve"> raised to that component's value, divided by the sum across all components, producing an ordered set of values. </w:t>
      </w:r>
      <w:proofErr w:type="spellStart"/>
      <w:r>
        <w:t>Softmax</w:t>
      </w:r>
      <w:proofErr w:type="spellEnd"/>
      <w:r>
        <w:t xml:space="preserve"> reduces an f-dimensional vector's data range and is popular in modern machine learning work.</w:t>
      </w:r>
    </w:p>
    <w:p w14:paraId="2D541EBB" w14:textId="77777777" w:rsidR="006A6367" w:rsidRDefault="00147329">
      <w:pPr>
        <w:spacing w:after="160"/>
      </w:pPr>
      <w:proofErr w:type="spellStart"/>
      <w:r>
        <w:t>Softmax</w:t>
      </w:r>
      <w:proofErr w:type="spellEnd"/>
      <w:r>
        <w:t xml:space="preserve"> outputs can be interpreted as probabilities, ranging from zero (totally improbable) to one (fully probable). The classification chosen is the one with the largest value, and that value also indicates the goodness of </w:t>
      </w:r>
      <w:proofErr w:type="gramStart"/>
      <w:r>
        <w:t>fit</w:t>
      </w:r>
      <w:proofErr w:type="gramEnd"/>
      <w:r>
        <w:t xml:space="preserve"> (for example, 0.8 is a better fit than 0.5, which is better than 0.1).</w:t>
      </w:r>
    </w:p>
    <w:p w14:paraId="0F2BC866" w14:textId="77777777" w:rsidR="006A6367" w:rsidRDefault="00147329">
      <w:pPr>
        <w:spacing w:after="160"/>
      </w:pPr>
      <w:r>
        <w:t xml:space="preserve">In one example run (Blaine's exercise), training ran for 63 epochs, with the number of neurons ranging from 25 to 144 (5x5 up to 12x12). More neurons generally provide more </w:t>
      </w:r>
      <w:proofErr w:type="spellStart"/>
      <w:r>
        <w:t>geobody</w:t>
      </w:r>
      <w:proofErr w:type="spellEnd"/>
      <w:r>
        <w:t xml:space="preserve"> </w:t>
      </w:r>
      <w:proofErr w:type="gramStart"/>
      <w:r>
        <w:t>detail</w:t>
      </w:r>
      <w:proofErr w:type="gramEnd"/>
      <w:r>
        <w:t>.</w:t>
      </w:r>
    </w:p>
    <w:p w14:paraId="1DB3AA14"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SOM vs. Deep Learning (CNN)</w:t>
      </w:r>
    </w:p>
    <w:p w14:paraId="10907D83" w14:textId="77777777" w:rsidR="006A6367" w:rsidRDefault="00147329">
      <w:pPr>
        <w:spacing w:after="160"/>
      </w:pPr>
      <w:r>
        <w:t>The self-organizing map seeks to move neurons toward natural clusters in attribute space. A convolutional neural network (CNN), by contrast, refines the edges (hyperplane boundaries) between classifications, improving the distinction of which neuron or class a given sample belongs to. In short: SOM searches for natural clusters, while CNN refines the boundaries between classes.</w:t>
      </w:r>
    </w:p>
    <w:p w14:paraId="122BBF91" w14:textId="77777777" w:rsidR="006A6367" w:rsidRDefault="00147329">
      <w:pPr>
        <w:pStyle w:val="Heading2"/>
        <w:spacing w:before="320" w:after="140"/>
      </w:pPr>
      <w:r>
        <w:rPr>
          <w:rFonts w:ascii="Noto Sans Semibold" w:eastAsia="Noto Sans Semibold" w:hAnsi="Noto Sans Semibold" w:cs="Noto Sans Semibold"/>
          <w:b/>
          <w:bCs/>
          <w:color w:val="0080A8"/>
          <w:sz w:val="30"/>
          <w:szCs w:val="30"/>
        </w:rPr>
        <w:t>Summary</w:t>
      </w:r>
    </w:p>
    <w:p w14:paraId="3360E143" w14:textId="77777777" w:rsidR="006A6367" w:rsidRDefault="00147329">
      <w:pPr>
        <w:spacing w:after="160"/>
      </w:pPr>
      <w:r>
        <w:t xml:space="preserve">This presentation demonstrated the use of machine learning for seismic interpretation via SOMs. Auto-picked </w:t>
      </w:r>
      <w:proofErr w:type="spellStart"/>
      <w:r>
        <w:t>geobodies</w:t>
      </w:r>
      <w:proofErr w:type="spellEnd"/>
      <w:r>
        <w:t xml:space="preserve"> are geologic features with similar attribute characteristics. A natural cluster is the illumination image of a </w:t>
      </w:r>
      <w:proofErr w:type="spellStart"/>
      <w:r>
        <w:t>geobody</w:t>
      </w:r>
      <w:proofErr w:type="spellEnd"/>
      <w:r>
        <w:t xml:space="preserve">, as defined by the attribute selection list, and may represent many stacked </w:t>
      </w:r>
      <w:proofErr w:type="spellStart"/>
      <w:r>
        <w:t>geobody</w:t>
      </w:r>
      <w:proofErr w:type="spellEnd"/>
      <w:r>
        <w:t xml:space="preserve"> images occupying a common location in attribute space. Hand exercises illustrated the role of neurons in attribute space, and several activation functions were reviewed, along with the role of epochs in neuron topology training.</w:t>
      </w:r>
    </w:p>
    <w:sectPr w:rsidR="006A6367">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9D24" w14:textId="77777777" w:rsidR="00147329" w:rsidRDefault="00147329">
      <w:r>
        <w:separator/>
      </w:r>
    </w:p>
  </w:endnote>
  <w:endnote w:type="continuationSeparator" w:id="0">
    <w:p w14:paraId="07029E52" w14:textId="77777777" w:rsidR="00147329" w:rsidRDefault="0014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D15F" w14:textId="77777777" w:rsidR="006A6367" w:rsidRDefault="00147329">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13A04">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D261E" w14:textId="77777777" w:rsidR="00147329" w:rsidRDefault="00147329">
      <w:r>
        <w:separator/>
      </w:r>
    </w:p>
  </w:footnote>
  <w:footnote w:type="continuationSeparator" w:id="0">
    <w:p w14:paraId="458DCBF0" w14:textId="77777777" w:rsidR="00147329" w:rsidRDefault="00147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C597" w14:textId="77777777" w:rsidR="006A6367" w:rsidRDefault="00147329">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97D"/>
    <w:multiLevelType w:val="hybridMultilevel"/>
    <w:tmpl w:val="0B8EA7D8"/>
    <w:lvl w:ilvl="0" w:tplc="913AC454">
      <w:start w:val="1"/>
      <w:numFmt w:val="decimal"/>
      <w:lvlText w:val="%1."/>
      <w:lvlJc w:val="left"/>
      <w:pPr>
        <w:ind w:left="460" w:hanging="260"/>
      </w:pPr>
    </w:lvl>
    <w:lvl w:ilvl="1" w:tplc="6474526A">
      <w:numFmt w:val="decimal"/>
      <w:lvlText w:val=""/>
      <w:lvlJc w:val="left"/>
    </w:lvl>
    <w:lvl w:ilvl="2" w:tplc="04C65824">
      <w:numFmt w:val="decimal"/>
      <w:lvlText w:val=""/>
      <w:lvlJc w:val="left"/>
    </w:lvl>
    <w:lvl w:ilvl="3" w:tplc="EC62F51E">
      <w:numFmt w:val="decimal"/>
      <w:lvlText w:val=""/>
      <w:lvlJc w:val="left"/>
    </w:lvl>
    <w:lvl w:ilvl="4" w:tplc="2BE41D60">
      <w:numFmt w:val="decimal"/>
      <w:lvlText w:val=""/>
      <w:lvlJc w:val="left"/>
    </w:lvl>
    <w:lvl w:ilvl="5" w:tplc="56403E06">
      <w:numFmt w:val="decimal"/>
      <w:lvlText w:val=""/>
      <w:lvlJc w:val="left"/>
    </w:lvl>
    <w:lvl w:ilvl="6" w:tplc="EC2CF518">
      <w:numFmt w:val="decimal"/>
      <w:lvlText w:val=""/>
      <w:lvlJc w:val="left"/>
    </w:lvl>
    <w:lvl w:ilvl="7" w:tplc="4BDCAF60">
      <w:numFmt w:val="decimal"/>
      <w:lvlText w:val=""/>
      <w:lvlJc w:val="left"/>
    </w:lvl>
    <w:lvl w:ilvl="8" w:tplc="78248186">
      <w:numFmt w:val="decimal"/>
      <w:lvlText w:val=""/>
      <w:lvlJc w:val="left"/>
    </w:lvl>
  </w:abstractNum>
  <w:abstractNum w:abstractNumId="1" w15:restartNumberingAfterBreak="0">
    <w:nsid w:val="0647001F"/>
    <w:multiLevelType w:val="hybridMultilevel"/>
    <w:tmpl w:val="B2B8B228"/>
    <w:lvl w:ilvl="0" w:tplc="46E08F4E">
      <w:start w:val="1"/>
      <w:numFmt w:val="bullet"/>
      <w:lvlText w:val="●"/>
      <w:lvlJc w:val="left"/>
      <w:pPr>
        <w:ind w:left="720" w:hanging="360"/>
      </w:pPr>
    </w:lvl>
    <w:lvl w:ilvl="1" w:tplc="0A468704">
      <w:start w:val="1"/>
      <w:numFmt w:val="bullet"/>
      <w:lvlText w:val="○"/>
      <w:lvlJc w:val="left"/>
      <w:pPr>
        <w:ind w:left="1440" w:hanging="360"/>
      </w:pPr>
    </w:lvl>
    <w:lvl w:ilvl="2" w:tplc="2B54A294">
      <w:start w:val="1"/>
      <w:numFmt w:val="bullet"/>
      <w:lvlText w:val="■"/>
      <w:lvlJc w:val="left"/>
      <w:pPr>
        <w:ind w:left="2160" w:hanging="360"/>
      </w:pPr>
    </w:lvl>
    <w:lvl w:ilvl="3" w:tplc="7C123E66">
      <w:start w:val="1"/>
      <w:numFmt w:val="bullet"/>
      <w:lvlText w:val="●"/>
      <w:lvlJc w:val="left"/>
      <w:pPr>
        <w:ind w:left="2880" w:hanging="360"/>
      </w:pPr>
    </w:lvl>
    <w:lvl w:ilvl="4" w:tplc="44BEAAE6">
      <w:start w:val="1"/>
      <w:numFmt w:val="bullet"/>
      <w:lvlText w:val="○"/>
      <w:lvlJc w:val="left"/>
      <w:pPr>
        <w:ind w:left="3600" w:hanging="360"/>
      </w:pPr>
    </w:lvl>
    <w:lvl w:ilvl="5" w:tplc="C5C0063A">
      <w:start w:val="1"/>
      <w:numFmt w:val="bullet"/>
      <w:lvlText w:val="■"/>
      <w:lvlJc w:val="left"/>
      <w:pPr>
        <w:ind w:left="4320" w:hanging="360"/>
      </w:pPr>
    </w:lvl>
    <w:lvl w:ilvl="6" w:tplc="21C276C8">
      <w:start w:val="1"/>
      <w:numFmt w:val="bullet"/>
      <w:lvlText w:val="●"/>
      <w:lvlJc w:val="left"/>
      <w:pPr>
        <w:ind w:left="5040" w:hanging="360"/>
      </w:pPr>
    </w:lvl>
    <w:lvl w:ilvl="7" w:tplc="7A440908">
      <w:start w:val="1"/>
      <w:numFmt w:val="bullet"/>
      <w:lvlText w:val="●"/>
      <w:lvlJc w:val="left"/>
      <w:pPr>
        <w:ind w:left="5760" w:hanging="360"/>
      </w:pPr>
    </w:lvl>
    <w:lvl w:ilvl="8" w:tplc="CD34F9BA">
      <w:start w:val="1"/>
      <w:numFmt w:val="bullet"/>
      <w:lvlText w:val="●"/>
      <w:lvlJc w:val="left"/>
      <w:pPr>
        <w:ind w:left="6480" w:hanging="360"/>
      </w:pPr>
    </w:lvl>
  </w:abstractNum>
  <w:num w:numId="1" w16cid:durableId="558832617">
    <w:abstractNumId w:val="1"/>
    <w:lvlOverride w:ilvl="0">
      <w:startOverride w:val="1"/>
    </w:lvlOverride>
  </w:num>
  <w:num w:numId="2" w16cid:durableId="9206796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367"/>
    <w:rsid w:val="000B1CE4"/>
    <w:rsid w:val="00147329"/>
    <w:rsid w:val="00513A04"/>
    <w:rsid w:val="006A6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C99B"/>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C0582F-90FB-4138-8608-74650C729FE6}"/>
</file>

<file path=customXml/itemProps2.xml><?xml version="1.0" encoding="utf-8"?>
<ds:datastoreItem xmlns:ds="http://schemas.openxmlformats.org/officeDocument/2006/customXml" ds:itemID="{F1069FF1-004C-4E8B-8C2C-8A3C58A9A013}"/>
</file>

<file path=customXml/itemProps3.xml><?xml version="1.0" encoding="utf-8"?>
<ds:datastoreItem xmlns:ds="http://schemas.openxmlformats.org/officeDocument/2006/customXml" ds:itemID="{3AE6310B-53E1-4899-B889-AC8743BB33D6}"/>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2026-08-04T20:41:00Z</dcterms:created>
  <dcterms:modified xsi:type="dcterms:W3CDTF">2026-08-04T20:41:00Z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