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9DDB9" w14:textId="77777777" w:rsidR="005D1C14" w:rsidRDefault="00D4184E">
      <w:pPr>
        <w:spacing w:before="400" w:after="500"/>
      </w:pPr>
      <w:r>
        <w:rPr>
          <w:noProof/>
        </w:rPr>
        <w:drawing>
          <wp:inline distT="0" distB="0" distL="0" distR="0" wp14:anchorId="07BE37B9" wp14:editId="276C5806">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185BCFFC" w14:textId="77777777" w:rsidR="005D1C14" w:rsidRDefault="00D4184E">
      <w:pPr>
        <w:spacing w:before="800" w:after="120"/>
      </w:pPr>
      <w:r>
        <w:rPr>
          <w:rFonts w:ascii="Noto Sans Semibold" w:eastAsia="Noto Sans Semibold" w:hAnsi="Noto Sans Semibold" w:cs="Noto Sans Semibold"/>
          <w:b/>
          <w:bCs/>
          <w:color w:val="005563"/>
          <w:sz w:val="56"/>
          <w:szCs w:val="56"/>
        </w:rPr>
        <w:t>Self-Organizing Assemblages, Part 1</w:t>
      </w:r>
    </w:p>
    <w:p w14:paraId="1546BEDB" w14:textId="77777777" w:rsidR="005D1C14" w:rsidRDefault="005D1C14">
      <w:pPr>
        <w:pBdr>
          <w:bottom w:val="single" w:sz="18" w:space="8" w:color="F7941D"/>
        </w:pBdr>
        <w:spacing w:after="300"/>
      </w:pPr>
    </w:p>
    <w:p w14:paraId="561495E6" w14:textId="77777777" w:rsidR="005D1C14" w:rsidRDefault="00D4184E">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6EC77730" w14:textId="77777777" w:rsidR="005D1C14" w:rsidRDefault="00D4184E">
      <w:r>
        <w:br w:type="page"/>
      </w:r>
    </w:p>
    <w:p w14:paraId="75345615" w14:textId="77777777" w:rsidR="005D1C14" w:rsidRDefault="00D4184E">
      <w:pPr>
        <w:pStyle w:val="Heading2"/>
        <w:spacing w:before="320" w:after="140"/>
      </w:pPr>
      <w:r>
        <w:rPr>
          <w:rFonts w:ascii="Noto Sans Semibold" w:eastAsia="Noto Sans Semibold" w:hAnsi="Noto Sans Semibold" w:cs="Noto Sans Semibold"/>
          <w:b/>
          <w:bCs/>
          <w:color w:val="0080A8"/>
          <w:sz w:val="30"/>
          <w:szCs w:val="30"/>
        </w:rPr>
        <w:lastRenderedPageBreak/>
        <w:t>Overview</w:t>
      </w:r>
    </w:p>
    <w:p w14:paraId="73D76853" w14:textId="77777777" w:rsidR="005D1C14" w:rsidRDefault="00D4184E">
      <w:pPr>
        <w:spacing w:after="160"/>
      </w:pPr>
      <w:r>
        <w:t>Self-organizing assemblages, regardless of initial conditions, follow simple rules to develop patterns of uniform assemblages. If the pattern is disrupted in motion, the formation self-corrects. Think of a flock of birds or a school of fish as examples. This presentation explains these self-organizing assemblages and defines the self-organizing map (SOM) and winning neurons.</w:t>
      </w:r>
    </w:p>
    <w:p w14:paraId="29CA2C5E" w14:textId="77777777" w:rsidR="005D1C14" w:rsidRDefault="00D4184E">
      <w:pPr>
        <w:pStyle w:val="Heading2"/>
        <w:spacing w:before="320" w:after="140"/>
      </w:pPr>
      <w:r>
        <w:rPr>
          <w:rFonts w:ascii="Noto Sans Semibold" w:eastAsia="Noto Sans Semibold" w:hAnsi="Noto Sans Semibold" w:cs="Noto Sans Semibold"/>
          <w:b/>
          <w:bCs/>
          <w:color w:val="0080A8"/>
          <w:sz w:val="30"/>
          <w:szCs w:val="30"/>
        </w:rPr>
        <w:t>Self-Organizing Assemblages in Nature</w:t>
      </w:r>
    </w:p>
    <w:p w14:paraId="4C14E17F" w14:textId="77777777" w:rsidR="005D1C14" w:rsidRDefault="00D4184E">
      <w:pPr>
        <w:spacing w:after="160"/>
      </w:pPr>
      <w:r>
        <w:t>Two natural examples illustrate self-organizing assemblages: Canadian snow geese flying in formation, and fish schooling in the ocean.</w:t>
      </w:r>
    </w:p>
    <w:p w14:paraId="581BACB0" w14:textId="77777777" w:rsidR="005D1C14" w:rsidRDefault="00D4184E">
      <w:pPr>
        <w:spacing w:after="160"/>
      </w:pPr>
      <w:r>
        <w:t>Neither snow geese nor fish have formal training in aeronautical engineering or fluid dynamics, yet each group produces highly organized collective behavior from simple individual rules.</w:t>
      </w:r>
    </w:p>
    <w:p w14:paraId="38BCB6D4" w14:textId="77777777" w:rsidR="005D1C14" w:rsidRDefault="00D4184E">
      <w:pPr>
        <w:spacing w:after="160"/>
      </w:pPr>
      <w:r>
        <w:rPr>
          <w:b/>
          <w:bCs/>
          <w:color w:val="005563"/>
        </w:rPr>
        <w:t>Snow geese:</w:t>
      </w:r>
      <w:r>
        <w:t xml:space="preserve"> Each goose follows the goose in front of it, not directly behind (as with a sled dog team, where only the lead dog sees new scenery), but offset either to the right or left, holding back a small distance. This simple rule produces slipstream benefits that let the flock travel much farther than individual birds could fly alone. The purpose of this self-organization is efficient long-distance migration, either north or south.</w:t>
      </w:r>
    </w:p>
    <w:p w14:paraId="3ABEA328" w14:textId="77777777" w:rsidR="005D1C14" w:rsidRDefault="00D4184E">
      <w:pPr>
        <w:spacing w:after="160"/>
      </w:pPr>
      <w:r>
        <w:rPr>
          <w:b/>
          <w:bCs/>
          <w:color w:val="005563"/>
        </w:rPr>
        <w:t>Fish:</w:t>
      </w:r>
      <w:r>
        <w:t xml:space="preserve"> Fish maintain a roughly equal distance from the fish in front, above, and below them. They do not swim in schools constantly, but they will school up under threat, such as when a shark approaches. A tightly packed school looks like one large animal (a whale or giant fish) to a predator with poor eyesight, discouraging attack. The purpose of self-organization here is defensive.</w:t>
      </w:r>
    </w:p>
    <w:p w14:paraId="3E85FB97" w14:textId="77777777" w:rsidR="005D1C14" w:rsidRDefault="00D4184E">
      <w:pPr>
        <w:spacing w:after="160"/>
      </w:pPr>
      <w:r>
        <w:rPr>
          <w:b/>
          <w:bCs/>
          <w:color w:val="005563"/>
        </w:rPr>
        <w:t>Self-correction:</w:t>
      </w:r>
      <w:r>
        <w:t xml:space="preserve"> Both examples share a more profound property: any disruption of the motion is self-correcting. When a hawk or eagle dives at a flock of geese, the formation is momentarily disrupted but immediately reorganizes as each bird resumes following its simple rule. When a shark swims through the middle of a school of fish, the school splits apart and then </w:t>
      </w:r>
      <w:proofErr w:type="gramStart"/>
      <w:r>
        <w:t>pulls</w:t>
      </w:r>
      <w:proofErr w:type="gramEnd"/>
      <w:r>
        <w:t xml:space="preserve"> back together into a school again. There are two fundamental points in both cases: the rule each individual follows, and the self-correcting property of th</w:t>
      </w:r>
      <w:r>
        <w:t>e group.</w:t>
      </w:r>
    </w:p>
    <w:p w14:paraId="3511A354" w14:textId="77777777" w:rsidR="005D1C14" w:rsidRDefault="00D4184E">
      <w:pPr>
        <w:pStyle w:val="Heading2"/>
        <w:spacing w:before="320" w:after="140"/>
      </w:pPr>
      <w:r>
        <w:rPr>
          <w:rFonts w:ascii="Noto Sans Semibold" w:eastAsia="Noto Sans Semibold" w:hAnsi="Noto Sans Semibold" w:cs="Noto Sans Semibold"/>
          <w:b/>
          <w:bCs/>
          <w:color w:val="0080A8"/>
          <w:sz w:val="30"/>
          <w:szCs w:val="30"/>
        </w:rPr>
        <w:t>The Self-Organizing Map (SOM)</w:t>
      </w:r>
    </w:p>
    <w:p w14:paraId="00B38E55" w14:textId="77777777" w:rsidR="005D1C14" w:rsidRDefault="00D4184E">
      <w:pPr>
        <w:spacing w:after="160"/>
      </w:pPr>
      <w:r>
        <w:t xml:space="preserve">Professor Kohonen defined the self-organizing map as follows: a self-organizing map is a type of artificial neural network that trains without supervision on unclassified </w:t>
      </w:r>
      <w:proofErr w:type="gramStart"/>
      <w:r>
        <w:t>data, and</w:t>
      </w:r>
      <w:proofErr w:type="gramEnd"/>
      <w:r>
        <w:t xml:space="preserve"> produces a low-dimensionality representation of the input space, called a map.</w:t>
      </w:r>
    </w:p>
    <w:p w14:paraId="03680AEE" w14:textId="77777777" w:rsidR="005D1C14" w:rsidRDefault="00D4184E">
      <w:pPr>
        <w:spacing w:after="160"/>
      </w:pPr>
      <w:r>
        <w:t>Breaking this down:</w:t>
      </w:r>
    </w:p>
    <w:p w14:paraId="4977FAD8" w14:textId="77777777" w:rsidR="005D1C14" w:rsidRDefault="00D4184E">
      <w:pPr>
        <w:pStyle w:val="ListParagraph"/>
        <w:numPr>
          <w:ilvl w:val="0"/>
          <w:numId w:val="1"/>
        </w:numPr>
        <w:spacing w:after="80"/>
      </w:pPr>
      <w:r>
        <w:t>It is an artificial neural network.</w:t>
      </w:r>
    </w:p>
    <w:p w14:paraId="1ADF0027" w14:textId="77777777" w:rsidR="005D1C14" w:rsidRDefault="00D4184E">
      <w:pPr>
        <w:pStyle w:val="ListParagraph"/>
        <w:numPr>
          <w:ilvl w:val="0"/>
          <w:numId w:val="1"/>
        </w:numPr>
        <w:spacing w:after="80"/>
      </w:pPr>
      <w:r>
        <w:t>It trains on unclassified data, with no supervision.</w:t>
      </w:r>
    </w:p>
    <w:p w14:paraId="78159DEC" w14:textId="77777777" w:rsidR="005D1C14" w:rsidRDefault="00D4184E">
      <w:pPr>
        <w:pStyle w:val="ListParagraph"/>
        <w:numPr>
          <w:ilvl w:val="0"/>
          <w:numId w:val="1"/>
        </w:numPr>
        <w:spacing w:after="80"/>
      </w:pPr>
      <w:r>
        <w:t>It produces a low-dimensionality representation (a map) of the input space, commonly a two-dimensional map, though it could also be one-dimensional (linear).</w:t>
      </w:r>
    </w:p>
    <w:p w14:paraId="70586B0E" w14:textId="77777777" w:rsidR="005D1C14" w:rsidRDefault="00D4184E">
      <w:pPr>
        <w:spacing w:after="160"/>
      </w:pPr>
      <w:r>
        <w:t xml:space="preserve">Training proceeds in epochs, just as in other neural network training. The algorithm passes through all training samples once per epoch, </w:t>
      </w:r>
      <w:proofErr w:type="gramStart"/>
      <w:r>
        <w:t>makes adjustments</w:t>
      </w:r>
      <w:proofErr w:type="gramEnd"/>
      <w:r>
        <w:t>, then begins a new epoch. For multi-attribute seismic samples, training might take 60 to 100 epochs.</w:t>
      </w:r>
    </w:p>
    <w:p w14:paraId="0B0FEFE6" w14:textId="77777777" w:rsidR="005D1C14" w:rsidRDefault="00D4184E">
      <w:pPr>
        <w:pStyle w:val="Heading3"/>
        <w:spacing w:before="240" w:after="100"/>
      </w:pPr>
      <w:r>
        <w:rPr>
          <w:rFonts w:ascii="Noto Sans Semibold" w:eastAsia="Noto Sans Semibold" w:hAnsi="Noto Sans Semibold" w:cs="Noto Sans Semibold"/>
          <w:b/>
          <w:bCs/>
          <w:color w:val="005563"/>
        </w:rPr>
        <w:lastRenderedPageBreak/>
        <w:t>Training Rules</w:t>
      </w:r>
    </w:p>
    <w:p w14:paraId="7D730F1C" w14:textId="77777777" w:rsidR="005D1C14" w:rsidRDefault="00D4184E">
      <w:pPr>
        <w:pStyle w:val="ListParagraph"/>
        <w:numPr>
          <w:ilvl w:val="0"/>
          <w:numId w:val="1"/>
        </w:numPr>
        <w:spacing w:after="80"/>
      </w:pPr>
      <w:r>
        <w:t>The winning neuron for a given training sample is the neuron with the smallest Euclidean distance to that sample, in what is called attribute space. Attribute space has as many dimensions as the number of attributes selected (for example, 8, 10, or 20).</w:t>
      </w:r>
    </w:p>
    <w:p w14:paraId="4217AD18" w14:textId="77777777" w:rsidR="005D1C14" w:rsidRDefault="00D4184E">
      <w:pPr>
        <w:pStyle w:val="ListParagraph"/>
        <w:numPr>
          <w:ilvl w:val="0"/>
          <w:numId w:val="1"/>
        </w:numPr>
        <w:spacing w:after="80"/>
      </w:pPr>
      <w:r>
        <w:t>Because neurons have the same number of components as a data sample, they can be thought of as literally wandering around in attribute space.</w:t>
      </w:r>
    </w:p>
    <w:p w14:paraId="21583861" w14:textId="77777777" w:rsidR="005D1C14" w:rsidRDefault="00D4184E">
      <w:pPr>
        <w:pStyle w:val="ListParagraph"/>
        <w:numPr>
          <w:ilvl w:val="0"/>
          <w:numId w:val="1"/>
        </w:numPr>
        <w:spacing w:after="80"/>
      </w:pPr>
      <w:r>
        <w:t>Training proceeds by moving the winning neuron toward the data sample, but not all the way, typically starting at around a third of the distance.</w:t>
      </w:r>
    </w:p>
    <w:p w14:paraId="50779FBA" w14:textId="77777777" w:rsidR="005D1C14" w:rsidRDefault="00D4184E">
      <w:pPr>
        <w:pStyle w:val="ListParagraph"/>
        <w:numPr>
          <w:ilvl w:val="0"/>
          <w:numId w:val="1"/>
        </w:numPr>
        <w:spacing w:after="80"/>
      </w:pPr>
      <w:r>
        <w:t>Neighborhood neurons in the neuron topology also move, but by a smaller fraction. For example, the winning neuron might move a third of the distance, its innermost neighbors might move 30 percent, and the next ring out might move 25 percent. These are training parameters.</w:t>
      </w:r>
    </w:p>
    <w:p w14:paraId="18378F25" w14:textId="77777777" w:rsidR="005D1C14" w:rsidRDefault="00D4184E">
      <w:pPr>
        <w:pStyle w:val="ListParagraph"/>
        <w:numPr>
          <w:ilvl w:val="0"/>
          <w:numId w:val="1"/>
        </w:numPr>
        <w:spacing w:after="80"/>
      </w:pPr>
      <w:r>
        <w:t>Neurons are not fully connected. A common topology uses six points of connectivity (hexagonal topology).</w:t>
      </w:r>
    </w:p>
    <w:p w14:paraId="267B397D" w14:textId="77777777" w:rsidR="005D1C14" w:rsidRDefault="00D4184E">
      <w:pPr>
        <w:pStyle w:val="Heading3"/>
        <w:spacing w:before="240" w:after="100"/>
      </w:pPr>
      <w:r>
        <w:rPr>
          <w:rFonts w:ascii="Noto Sans Semibold" w:eastAsia="Noto Sans Semibold" w:hAnsi="Noto Sans Semibold" w:cs="Noto Sans Semibold"/>
          <w:b/>
          <w:bCs/>
          <w:color w:val="005563"/>
        </w:rPr>
        <w:t>Parameters That Change During Training</w:t>
      </w:r>
    </w:p>
    <w:p w14:paraId="605928FB" w14:textId="77777777" w:rsidR="005D1C14" w:rsidRDefault="00D4184E">
      <w:pPr>
        <w:pStyle w:val="ListParagraph"/>
        <w:numPr>
          <w:ilvl w:val="0"/>
          <w:numId w:val="2"/>
        </w:numPr>
        <w:spacing w:after="80"/>
      </w:pPr>
      <w:r>
        <w:t>The initial amount of movement for a winning neuron.</w:t>
      </w:r>
    </w:p>
    <w:p w14:paraId="57860457" w14:textId="77777777" w:rsidR="005D1C14" w:rsidRDefault="00D4184E">
      <w:pPr>
        <w:pStyle w:val="ListParagraph"/>
        <w:numPr>
          <w:ilvl w:val="0"/>
          <w:numId w:val="2"/>
        </w:numPr>
        <w:spacing w:after="80"/>
      </w:pPr>
      <w:r>
        <w:t>The size of the neighborhood (neurons outside the neighborhood do not move at all).</w:t>
      </w:r>
    </w:p>
    <w:p w14:paraId="4B6171AB" w14:textId="77777777" w:rsidR="005D1C14" w:rsidRDefault="00D4184E">
      <w:pPr>
        <w:pStyle w:val="ListParagraph"/>
        <w:numPr>
          <w:ilvl w:val="0"/>
          <w:numId w:val="2"/>
        </w:numPr>
        <w:spacing w:after="80"/>
      </w:pPr>
      <w:r>
        <w:t xml:space="preserve">How </w:t>
      </w:r>
      <w:proofErr w:type="gramStart"/>
      <w:r>
        <w:t>much</w:t>
      </w:r>
      <w:proofErr w:type="gramEnd"/>
      <w:r>
        <w:t xml:space="preserve"> the neighborhood shrinks at each epoch.</w:t>
      </w:r>
    </w:p>
    <w:p w14:paraId="745294D2" w14:textId="77777777" w:rsidR="005D1C14" w:rsidRDefault="00D4184E">
      <w:pPr>
        <w:pStyle w:val="ListParagraph"/>
        <w:numPr>
          <w:ilvl w:val="0"/>
          <w:numId w:val="2"/>
        </w:numPr>
        <w:spacing w:after="80"/>
      </w:pPr>
      <w:r>
        <w:t>How much the winning neuron's movement distance decreases at each epoch (for example, a third, then 30 percent, then 25 percent).</w:t>
      </w:r>
    </w:p>
    <w:p w14:paraId="1F24251E" w14:textId="77777777" w:rsidR="005D1C14" w:rsidRDefault="00D4184E">
      <w:pPr>
        <w:pStyle w:val="Heading3"/>
        <w:spacing w:before="240" w:after="100"/>
      </w:pPr>
      <w:r>
        <w:rPr>
          <w:rFonts w:ascii="Noto Sans Semibold" w:eastAsia="Noto Sans Semibold" w:hAnsi="Noto Sans Semibold" w:cs="Noto Sans Semibold"/>
          <w:b/>
          <w:bCs/>
          <w:color w:val="005563"/>
        </w:rPr>
        <w:t>Cooperative vs. Competitive Training</w:t>
      </w:r>
    </w:p>
    <w:p w14:paraId="48B0A7DF" w14:textId="77777777" w:rsidR="005D1C14" w:rsidRDefault="00D4184E">
      <w:pPr>
        <w:spacing w:after="160"/>
      </w:pPr>
      <w:r>
        <w:t>Kohonen observed that winning neurons and their neighboring neurons undergo cooperative training in early epochs, since not only the winning neuron but all its neighborhood "buddies" move as well. As training proceeds, the neighborhood radius shrinks, and once it shrinks below one, there are no neighbors left. Beyond that point, training becomes competitive, since only the winning neuron moves. Training therefore begins cooperative and transitions to competitive.</w:t>
      </w:r>
    </w:p>
    <w:p w14:paraId="3C24E3CA" w14:textId="77777777" w:rsidR="005D1C14" w:rsidRDefault="00D4184E">
      <w:pPr>
        <w:pStyle w:val="Heading2"/>
        <w:spacing w:before="320" w:after="140"/>
      </w:pPr>
      <w:r>
        <w:rPr>
          <w:rFonts w:ascii="Noto Sans Semibold" w:eastAsia="Noto Sans Semibold" w:hAnsi="Noto Sans Semibold" w:cs="Noto Sans Semibold"/>
          <w:b/>
          <w:bCs/>
          <w:color w:val="0080A8"/>
          <w:sz w:val="30"/>
          <w:szCs w:val="30"/>
        </w:rPr>
        <w:t>Example: Kohonen's World Country Classification</w:t>
      </w:r>
    </w:p>
    <w:p w14:paraId="6E4384B0" w14:textId="77777777" w:rsidR="005D1C14" w:rsidRDefault="00D4184E">
      <w:pPr>
        <w:spacing w:after="160"/>
      </w:pPr>
      <w:r>
        <w:t xml:space="preserve">One of Kohonen's early and popular SOM examples involved a set of countries, each described by 39 quality-of-life attributes (health, nutrition, education, and so on), each treated as equally important. This makes the data 39-dimensional, and each country's 39 numbers were used to identify which countries are </w:t>
      </w:r>
      <w:proofErr w:type="gramStart"/>
      <w:r>
        <w:t>similar to</w:t>
      </w:r>
      <w:proofErr w:type="gramEnd"/>
      <w:r>
        <w:t xml:space="preserve"> one another.</w:t>
      </w:r>
    </w:p>
    <w:p w14:paraId="2F4638A4" w14:textId="77777777" w:rsidR="005D1C14" w:rsidRDefault="00D4184E">
      <w:pPr>
        <w:spacing w:after="160"/>
      </w:pPr>
      <w:r>
        <w:t>In the resulting map, Canada and the U.S. ended up associated with the same neuron. New Zealand, Australia, Israel, Denmark, Great Britain, Norway, Finland, and Ireland also formed their own associations. The result became informally known as the "World Poverty Classification," but this label is misleading: the SOM simply identifies natural clusters of similar countries based on the 39 attributes. The specific colors used to display the classification are arbitrary and carry no inherent meaning; the map cou</w:t>
      </w:r>
      <w:r>
        <w:t>ld be colored entirely differently and the underlying groupings (Canada with the U.S., Denmark with Norway and Finland, and so on) would remain the same.</w:t>
      </w:r>
    </w:p>
    <w:p w14:paraId="33F7CA37" w14:textId="77777777" w:rsidR="005D1C14" w:rsidRDefault="00D4184E">
      <w:pPr>
        <w:spacing w:after="160"/>
      </w:pPr>
      <w:r>
        <w:t>Countries not included in the training data (for example, Russia, Cuba, and a few others) simply do not appear classified in the result.</w:t>
      </w:r>
    </w:p>
    <w:p w14:paraId="44156344" w14:textId="77777777" w:rsidR="005D1C14" w:rsidRDefault="00D4184E">
      <w:pPr>
        <w:spacing w:after="160"/>
      </w:pPr>
      <w:r>
        <w:lastRenderedPageBreak/>
        <w:t xml:space="preserve">This example illustrates the two-step process: a training step and a classification step. Each country was classified according to which winning neuron it ended up associated </w:t>
      </w:r>
      <w:proofErr w:type="gramStart"/>
      <w:r>
        <w:t>with, and</w:t>
      </w:r>
      <w:proofErr w:type="gramEnd"/>
      <w:r>
        <w:t xml:space="preserve"> colored by that neuron's position in a two-dimensional color map.</w:t>
      </w:r>
    </w:p>
    <w:p w14:paraId="038E05E4" w14:textId="77777777" w:rsidR="005D1C14" w:rsidRDefault="00D4184E">
      <w:pPr>
        <w:pStyle w:val="Heading2"/>
        <w:spacing w:before="320" w:after="140"/>
      </w:pPr>
      <w:r>
        <w:rPr>
          <w:rFonts w:ascii="Noto Sans Semibold" w:eastAsia="Noto Sans Semibold" w:hAnsi="Noto Sans Semibold" w:cs="Noto Sans Semibold"/>
          <w:b/>
          <w:bCs/>
          <w:color w:val="0080A8"/>
          <w:sz w:val="30"/>
          <w:szCs w:val="30"/>
        </w:rPr>
        <w:t>Key Terminology</w:t>
      </w:r>
    </w:p>
    <w:p w14:paraId="7A84BBAA" w14:textId="77777777" w:rsidR="005D1C14" w:rsidRDefault="00D4184E">
      <w:pPr>
        <w:pStyle w:val="ListParagraph"/>
        <w:numPr>
          <w:ilvl w:val="0"/>
          <w:numId w:val="1"/>
        </w:numPr>
        <w:spacing w:after="80"/>
      </w:pPr>
      <w:r>
        <w:rPr>
          <w:b/>
          <w:bCs/>
          <w:color w:val="005563"/>
        </w:rPr>
        <w:t>Attribute space:</w:t>
      </w:r>
      <w:r>
        <w:t xml:space="preserve"> The n-dimensional space filled with vectors of </w:t>
      </w:r>
      <w:proofErr w:type="spellStart"/>
      <w:r>
        <w:t>n</w:t>
      </w:r>
      <w:proofErr w:type="spellEnd"/>
      <w:r>
        <w:t xml:space="preserve"> attribute components. Every data sample plots as a single point in attribute space. For example, four well-log curves (SP, gamma ray, and others) define a four-dimensional attribute space. N training samples produce N points in attribute space.</w:t>
      </w:r>
    </w:p>
    <w:p w14:paraId="51205FAB" w14:textId="77777777" w:rsidR="005D1C14" w:rsidRDefault="00D4184E">
      <w:pPr>
        <w:pStyle w:val="ListParagraph"/>
        <w:numPr>
          <w:ilvl w:val="0"/>
          <w:numId w:val="1"/>
        </w:numPr>
        <w:spacing w:after="80"/>
      </w:pPr>
      <w:r>
        <w:rPr>
          <w:b/>
          <w:bCs/>
          <w:color w:val="005563"/>
        </w:rPr>
        <w:t>Features:</w:t>
      </w:r>
      <w:r>
        <w:t xml:space="preserve"> The individual characteristics that make up a sample vector (for example, seismic attributes). "Features" and "attributes" are used </w:t>
      </w:r>
      <w:proofErr w:type="gramStart"/>
      <w:r>
        <w:t>interchangeably</w:t>
      </w:r>
      <w:proofErr w:type="gramEnd"/>
      <w:r>
        <w:t xml:space="preserve"> and both set the dimensionality of attribute space.</w:t>
      </w:r>
    </w:p>
    <w:p w14:paraId="62030726" w14:textId="77777777" w:rsidR="005D1C14" w:rsidRDefault="00D4184E">
      <w:pPr>
        <w:pStyle w:val="ListParagraph"/>
        <w:numPr>
          <w:ilvl w:val="0"/>
          <w:numId w:val="1"/>
        </w:numPr>
        <w:spacing w:after="80"/>
      </w:pPr>
      <w:r>
        <w:rPr>
          <w:b/>
          <w:bCs/>
          <w:color w:val="005563"/>
        </w:rPr>
        <w:t>Neuron topology:</w:t>
      </w:r>
      <w:r>
        <w:t xml:space="preserve"> The description of the neural network itself, specifically how the neurons interconnect and how the layers are connected. This concept applies to both supervised and unsupervised neural networks (</w:t>
      </w:r>
      <w:proofErr w:type="gramStart"/>
      <w:r>
        <w:t>with the exception of</w:t>
      </w:r>
      <w:proofErr w:type="gramEnd"/>
      <w:r>
        <w:t xml:space="preserve"> autoencoders, which discover their own structure).</w:t>
      </w:r>
    </w:p>
    <w:p w14:paraId="29362974" w14:textId="77777777" w:rsidR="005D1C14" w:rsidRDefault="00D4184E">
      <w:pPr>
        <w:spacing w:after="160"/>
      </w:pPr>
      <w:r>
        <w:t>Training samples remain fixed in attribute space; they never move. The neural network's neurons, by contrast, move around in attribute space and are attracted toward natural clusters of samples. A dense cluster of training samples attracts more neurons; a sparse, diffuse region of attribute space attracts fewer neurons, since the local sample density is lower.</w:t>
      </w:r>
    </w:p>
    <w:p w14:paraId="1DE10928" w14:textId="77777777" w:rsidR="005D1C14" w:rsidRDefault="00D4184E">
      <w:pPr>
        <w:pStyle w:val="Heading2"/>
        <w:spacing w:before="320" w:after="140"/>
      </w:pPr>
      <w:r>
        <w:rPr>
          <w:rFonts w:ascii="Noto Sans Semibold" w:eastAsia="Noto Sans Semibold" w:hAnsi="Noto Sans Semibold" w:cs="Noto Sans Semibold"/>
          <w:b/>
          <w:bCs/>
          <w:color w:val="0080A8"/>
          <w:sz w:val="30"/>
          <w:szCs w:val="30"/>
        </w:rPr>
        <w:t>Summary</w:t>
      </w:r>
    </w:p>
    <w:p w14:paraId="5D28F7FB" w14:textId="77777777" w:rsidR="005D1C14" w:rsidRDefault="00D4184E">
      <w:pPr>
        <w:spacing w:after="160"/>
      </w:pPr>
      <w:r>
        <w:t>The Kohonen model for self-organizing maps was used to illustrate attribute space, features, and neuron topologies. Data training samples do not move, but neurons move toward clusters of similar data samples. This presentation described neural networks and how their neurons connect, both within and between layers, and discussed how neuron topologies move within attribute space.</w:t>
      </w:r>
    </w:p>
    <w:sectPr w:rsidR="005D1C14">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9277A" w14:textId="77777777" w:rsidR="00D4184E" w:rsidRDefault="00D4184E">
      <w:r>
        <w:separator/>
      </w:r>
    </w:p>
  </w:endnote>
  <w:endnote w:type="continuationSeparator" w:id="0">
    <w:p w14:paraId="1E05D3A2" w14:textId="77777777" w:rsidR="00D4184E" w:rsidRDefault="00D41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6F874" w14:textId="77777777" w:rsidR="005D1C14" w:rsidRDefault="00D4184E">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8B4380">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38ADD" w14:textId="77777777" w:rsidR="00D4184E" w:rsidRDefault="00D4184E">
      <w:r>
        <w:separator/>
      </w:r>
    </w:p>
  </w:footnote>
  <w:footnote w:type="continuationSeparator" w:id="0">
    <w:p w14:paraId="50B5F237" w14:textId="77777777" w:rsidR="00D4184E" w:rsidRDefault="00D41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3B3C0" w14:textId="77777777" w:rsidR="005D1C14" w:rsidRDefault="00D4184E">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436"/>
    <w:multiLevelType w:val="hybridMultilevel"/>
    <w:tmpl w:val="2710ECAC"/>
    <w:lvl w:ilvl="0" w:tplc="062C3FC2">
      <w:start w:val="1"/>
      <w:numFmt w:val="bullet"/>
      <w:lvlText w:val="●"/>
      <w:lvlJc w:val="left"/>
      <w:pPr>
        <w:ind w:left="720" w:hanging="360"/>
      </w:pPr>
    </w:lvl>
    <w:lvl w:ilvl="1" w:tplc="5A12C0A6">
      <w:start w:val="1"/>
      <w:numFmt w:val="bullet"/>
      <w:lvlText w:val="○"/>
      <w:lvlJc w:val="left"/>
      <w:pPr>
        <w:ind w:left="1440" w:hanging="360"/>
      </w:pPr>
    </w:lvl>
    <w:lvl w:ilvl="2" w:tplc="4F32A4E4">
      <w:start w:val="1"/>
      <w:numFmt w:val="bullet"/>
      <w:lvlText w:val="■"/>
      <w:lvlJc w:val="left"/>
      <w:pPr>
        <w:ind w:left="2160" w:hanging="360"/>
      </w:pPr>
    </w:lvl>
    <w:lvl w:ilvl="3" w:tplc="70AA9D7C">
      <w:start w:val="1"/>
      <w:numFmt w:val="bullet"/>
      <w:lvlText w:val="●"/>
      <w:lvlJc w:val="left"/>
      <w:pPr>
        <w:ind w:left="2880" w:hanging="360"/>
      </w:pPr>
    </w:lvl>
    <w:lvl w:ilvl="4" w:tplc="06FE832E">
      <w:start w:val="1"/>
      <w:numFmt w:val="bullet"/>
      <w:lvlText w:val="○"/>
      <w:lvlJc w:val="left"/>
      <w:pPr>
        <w:ind w:left="3600" w:hanging="360"/>
      </w:pPr>
    </w:lvl>
    <w:lvl w:ilvl="5" w:tplc="FEB28870">
      <w:start w:val="1"/>
      <w:numFmt w:val="bullet"/>
      <w:lvlText w:val="■"/>
      <w:lvlJc w:val="left"/>
      <w:pPr>
        <w:ind w:left="4320" w:hanging="360"/>
      </w:pPr>
    </w:lvl>
    <w:lvl w:ilvl="6" w:tplc="C2220D10">
      <w:start w:val="1"/>
      <w:numFmt w:val="bullet"/>
      <w:lvlText w:val="●"/>
      <w:lvlJc w:val="left"/>
      <w:pPr>
        <w:ind w:left="5040" w:hanging="360"/>
      </w:pPr>
    </w:lvl>
    <w:lvl w:ilvl="7" w:tplc="8D14D0D4">
      <w:start w:val="1"/>
      <w:numFmt w:val="bullet"/>
      <w:lvlText w:val="●"/>
      <w:lvlJc w:val="left"/>
      <w:pPr>
        <w:ind w:left="5760" w:hanging="360"/>
      </w:pPr>
    </w:lvl>
    <w:lvl w:ilvl="8" w:tplc="D556F506">
      <w:start w:val="1"/>
      <w:numFmt w:val="bullet"/>
      <w:lvlText w:val="●"/>
      <w:lvlJc w:val="left"/>
      <w:pPr>
        <w:ind w:left="6480" w:hanging="360"/>
      </w:pPr>
    </w:lvl>
  </w:abstractNum>
  <w:abstractNum w:abstractNumId="1" w15:restartNumberingAfterBreak="0">
    <w:nsid w:val="5BE4706D"/>
    <w:multiLevelType w:val="hybridMultilevel"/>
    <w:tmpl w:val="A2C6182C"/>
    <w:lvl w:ilvl="0" w:tplc="A676A5B6">
      <w:start w:val="1"/>
      <w:numFmt w:val="decimal"/>
      <w:lvlText w:val="%1."/>
      <w:lvlJc w:val="left"/>
      <w:pPr>
        <w:ind w:left="460" w:hanging="260"/>
      </w:pPr>
    </w:lvl>
    <w:lvl w:ilvl="1" w:tplc="C40E06D8">
      <w:numFmt w:val="decimal"/>
      <w:lvlText w:val=""/>
      <w:lvlJc w:val="left"/>
    </w:lvl>
    <w:lvl w:ilvl="2" w:tplc="EFB0E5AE">
      <w:numFmt w:val="decimal"/>
      <w:lvlText w:val=""/>
      <w:lvlJc w:val="left"/>
    </w:lvl>
    <w:lvl w:ilvl="3" w:tplc="DEE20C66">
      <w:numFmt w:val="decimal"/>
      <w:lvlText w:val=""/>
      <w:lvlJc w:val="left"/>
    </w:lvl>
    <w:lvl w:ilvl="4" w:tplc="16B8DFFC">
      <w:numFmt w:val="decimal"/>
      <w:lvlText w:val=""/>
      <w:lvlJc w:val="left"/>
    </w:lvl>
    <w:lvl w:ilvl="5" w:tplc="879858A8">
      <w:numFmt w:val="decimal"/>
      <w:lvlText w:val=""/>
      <w:lvlJc w:val="left"/>
    </w:lvl>
    <w:lvl w:ilvl="6" w:tplc="7FE4ED7E">
      <w:numFmt w:val="decimal"/>
      <w:lvlText w:val=""/>
      <w:lvlJc w:val="left"/>
    </w:lvl>
    <w:lvl w:ilvl="7" w:tplc="81D2CFE8">
      <w:numFmt w:val="decimal"/>
      <w:lvlText w:val=""/>
      <w:lvlJc w:val="left"/>
    </w:lvl>
    <w:lvl w:ilvl="8" w:tplc="997A494C">
      <w:numFmt w:val="decimal"/>
      <w:lvlText w:val=""/>
      <w:lvlJc w:val="left"/>
    </w:lvl>
  </w:abstractNum>
  <w:num w:numId="1" w16cid:durableId="176047869">
    <w:abstractNumId w:val="0"/>
    <w:lvlOverride w:ilvl="0">
      <w:startOverride w:val="1"/>
    </w:lvlOverride>
  </w:num>
  <w:num w:numId="2" w16cid:durableId="67884619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C14"/>
    <w:rsid w:val="000B1CE4"/>
    <w:rsid w:val="005D1C14"/>
    <w:rsid w:val="008B4380"/>
    <w:rsid w:val="00D41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094F"/>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FF8E2B-4E51-4AF4-98EF-BAA5069FC7B6}"/>
</file>

<file path=customXml/itemProps2.xml><?xml version="1.0" encoding="utf-8"?>
<ds:datastoreItem xmlns:ds="http://schemas.openxmlformats.org/officeDocument/2006/customXml" ds:itemID="{7A4C4E07-82DF-44DF-9440-4834583982B8}"/>
</file>

<file path=customXml/itemProps3.xml><?xml version="1.0" encoding="utf-8"?>
<ds:datastoreItem xmlns:ds="http://schemas.openxmlformats.org/officeDocument/2006/customXml" ds:itemID="{0DFB73D7-17FE-43D9-AD9A-CBFCB857244F}"/>
</file>

<file path=docProps/app.xml><?xml version="1.0" encoding="utf-8"?>
<Properties xmlns="http://schemas.openxmlformats.org/officeDocument/2006/extended-properties" xmlns:vt="http://schemas.openxmlformats.org/officeDocument/2006/docPropsVTypes">
  <Template>Normal.dotm</Template>
  <TotalTime>1</TotalTime>
  <Pages>4</Pages>
  <Words>1166</Words>
  <Characters>6647</Characters>
  <Application>Microsoft Office Word</Application>
  <DocSecurity>0</DocSecurity>
  <Lines>55</Lines>
  <Paragraphs>15</Paragraphs>
  <ScaleCrop>false</ScaleCrop>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2026-08-04T20:40:00Z</dcterms:created>
  <dcterms:modified xsi:type="dcterms:W3CDTF">2026-08-04T20:40:00Z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