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E944" w14:textId="77777777" w:rsidR="002324DD" w:rsidRDefault="00F9418D">
      <w:pPr>
        <w:spacing w:before="400" w:after="500"/>
      </w:pPr>
      <w:r>
        <w:rPr>
          <w:noProof/>
        </w:rPr>
        <w:drawing>
          <wp:inline distT="0" distB="0" distL="0" distR="0" wp14:anchorId="21C8FFF1" wp14:editId="370F7813">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6CC5DE38" w14:textId="77777777" w:rsidR="002324DD" w:rsidRDefault="00F9418D">
      <w:pPr>
        <w:spacing w:before="800" w:after="120"/>
      </w:pPr>
      <w:r>
        <w:rPr>
          <w:rFonts w:ascii="Noto Sans Semibold" w:eastAsia="Noto Sans Semibold" w:hAnsi="Noto Sans Semibold" w:cs="Noto Sans Semibold"/>
          <w:b/>
          <w:bCs/>
          <w:color w:val="005563"/>
          <w:sz w:val="56"/>
          <w:szCs w:val="56"/>
        </w:rPr>
        <w:t>SOM and Tuning Thickness</w:t>
      </w:r>
    </w:p>
    <w:p w14:paraId="7DEB08BF" w14:textId="77777777" w:rsidR="002324DD" w:rsidRDefault="002324DD">
      <w:pPr>
        <w:pBdr>
          <w:bottom w:val="single" w:sz="18" w:space="8" w:color="F7941D"/>
        </w:pBdr>
        <w:spacing w:after="300"/>
      </w:pPr>
    </w:p>
    <w:p w14:paraId="3CBB71B6" w14:textId="77777777" w:rsidR="002324DD" w:rsidRDefault="00F9418D">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7E06235D" w14:textId="77777777" w:rsidR="002324DD" w:rsidRDefault="00F9418D">
      <w:r>
        <w:br w:type="page"/>
      </w:r>
    </w:p>
    <w:p w14:paraId="4C87953B" w14:textId="77777777" w:rsidR="002324DD" w:rsidRDefault="00F9418D">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0874C863" w14:textId="77777777" w:rsidR="002324DD" w:rsidRDefault="00F9418D">
      <w:pPr>
        <w:spacing w:after="160"/>
      </w:pPr>
      <w:r>
        <w:t>This presentation uses seismic models to identify natural clusters in attribute space. A classic seismic wedge model is examined, along with what the SOM classification of the wedge model looks like. Tuning thickness is defined as the point of maximum constructive amplitude buildup; below tuning thickness, amplitude falls off. Wedge models with increasing numbers of attributes are examined and compared, and two-dimensional color maps are used to identify neurons in the wedge models.</w:t>
      </w:r>
    </w:p>
    <w:p w14:paraId="03382A2D" w14:textId="77777777" w:rsidR="002324DD" w:rsidRDefault="00F9418D">
      <w:pPr>
        <w:pStyle w:val="Heading2"/>
        <w:spacing w:before="320" w:after="140"/>
      </w:pPr>
      <w:r>
        <w:rPr>
          <w:rFonts w:ascii="Noto Sans Semibold" w:eastAsia="Noto Sans Semibold" w:hAnsi="Noto Sans Semibold" w:cs="Noto Sans Semibold"/>
          <w:b/>
          <w:bCs/>
          <w:color w:val="0080A8"/>
          <w:sz w:val="30"/>
          <w:szCs w:val="30"/>
        </w:rPr>
        <w:t>Four Basic Reflection Events</w:t>
      </w:r>
    </w:p>
    <w:p w14:paraId="1CB6BA45" w14:textId="77777777" w:rsidR="002324DD" w:rsidRDefault="00F9418D">
      <w:pPr>
        <w:spacing w:after="160"/>
      </w:pPr>
      <w:r>
        <w:t>Four canonical reflection events are considered, using the SEG polarity convention:</w:t>
      </w:r>
    </w:p>
    <w:p w14:paraId="2914AC35" w14:textId="77777777" w:rsidR="002324DD" w:rsidRDefault="00F9418D">
      <w:pPr>
        <w:pStyle w:val="ListParagraph"/>
        <w:numPr>
          <w:ilvl w:val="0"/>
          <w:numId w:val="1"/>
        </w:numPr>
        <w:spacing w:after="80"/>
      </w:pPr>
      <w:r>
        <w:rPr>
          <w:b/>
          <w:bCs/>
          <w:color w:val="005563"/>
        </w:rPr>
        <w:t>Low acoustic impedance over high:</w:t>
      </w:r>
      <w:r>
        <w:t xml:space="preserve"> a single positive reflection coefficient, producing a symmetric peak event.</w:t>
      </w:r>
    </w:p>
    <w:p w14:paraId="191F2E25" w14:textId="77777777" w:rsidR="002324DD" w:rsidRDefault="00F9418D">
      <w:pPr>
        <w:pStyle w:val="ListParagraph"/>
        <w:numPr>
          <w:ilvl w:val="0"/>
          <w:numId w:val="1"/>
        </w:numPr>
        <w:spacing w:after="80"/>
      </w:pPr>
      <w:r>
        <w:rPr>
          <w:b/>
          <w:bCs/>
          <w:color w:val="005563"/>
        </w:rPr>
        <w:t>Low acoustic impedance thin bed:</w:t>
      </w:r>
      <w:r>
        <w:t xml:space="preserve"> a doublet of reflection coefficients (negative, then positive), producing a trough-over-peak event.</w:t>
      </w:r>
    </w:p>
    <w:p w14:paraId="5C3A0074" w14:textId="77777777" w:rsidR="002324DD" w:rsidRDefault="00F9418D">
      <w:pPr>
        <w:pStyle w:val="ListParagraph"/>
        <w:numPr>
          <w:ilvl w:val="0"/>
          <w:numId w:val="1"/>
        </w:numPr>
        <w:spacing w:after="80"/>
      </w:pPr>
      <w:r>
        <w:rPr>
          <w:b/>
          <w:bCs/>
          <w:color w:val="005563"/>
        </w:rPr>
        <w:t>High acoustic impedance thin bed:</w:t>
      </w:r>
      <w:r>
        <w:t xml:space="preserve"> peak-over-trough.</w:t>
      </w:r>
    </w:p>
    <w:p w14:paraId="38305921" w14:textId="77777777" w:rsidR="002324DD" w:rsidRDefault="00F9418D">
      <w:pPr>
        <w:pStyle w:val="ListParagraph"/>
        <w:numPr>
          <w:ilvl w:val="0"/>
          <w:numId w:val="1"/>
        </w:numPr>
        <w:spacing w:after="80"/>
      </w:pPr>
      <w:r>
        <w:rPr>
          <w:b/>
          <w:bCs/>
          <w:color w:val="005563"/>
        </w:rPr>
        <w:t>High acoustic impedance over low:</w:t>
      </w:r>
      <w:r>
        <w:t xml:space="preserve"> a single negative reflection coefficient, producing a symmetric trough event.</w:t>
      </w:r>
    </w:p>
    <w:p w14:paraId="31D80B8D" w14:textId="77777777" w:rsidR="002324DD" w:rsidRDefault="00F9418D">
      <w:pPr>
        <w:spacing w:after="160"/>
      </w:pPr>
      <w:r>
        <w:t>These four events were modeled at three noise levels: low, medium, and high.</w:t>
      </w:r>
    </w:p>
    <w:p w14:paraId="483FDB6A" w14:textId="77777777" w:rsidR="002324DD" w:rsidRDefault="00F9418D">
      <w:pPr>
        <w:pStyle w:val="Heading2"/>
        <w:spacing w:before="320" w:after="140"/>
      </w:pPr>
      <w:r>
        <w:rPr>
          <w:rFonts w:ascii="Noto Sans Semibold" w:eastAsia="Noto Sans Semibold" w:hAnsi="Noto Sans Semibold" w:cs="Noto Sans Semibold"/>
          <w:b/>
          <w:bCs/>
          <w:color w:val="0080A8"/>
          <w:sz w:val="30"/>
          <w:szCs w:val="30"/>
        </w:rPr>
        <w:t>SOM Classification of the Four Events</w:t>
      </w:r>
    </w:p>
    <w:p w14:paraId="54D15E61" w14:textId="77777777" w:rsidR="002324DD" w:rsidRDefault="00F9418D">
      <w:pPr>
        <w:spacing w:after="160"/>
      </w:pPr>
      <w:r>
        <w:t xml:space="preserve">The SOM classifications used an 8x8 neuron topology (64 winning neurons) with hexagonal neuron connectivity. At medium noise, the color bands in the classification could be matched to the underlying events: green identified the symmetric peak event (with purple identifying the flanking troughs), and purple identified the symmetric trough event (with green identifying the flanking peaks). The doublet events (trough-over-peak and peak-over-trough) also formed their own distinct bands. As noise increased from </w:t>
      </w:r>
      <w:r>
        <w:t>low to high, the classification began to slip somewhat, though the overall groupings remained recognizable. On the low-noise end, the only noise present was machine roundoff; on the high-noise end, random reflection coefficients were introduced prior to convolution with the wavelet.</w:t>
      </w:r>
    </w:p>
    <w:p w14:paraId="7F1E8627" w14:textId="77777777" w:rsidR="002324DD" w:rsidRDefault="00F9418D">
      <w:pPr>
        <w:pStyle w:val="Heading2"/>
        <w:spacing w:before="320" w:after="140"/>
      </w:pPr>
      <w:r>
        <w:rPr>
          <w:rFonts w:ascii="Noto Sans Semibold" w:eastAsia="Noto Sans Semibold" w:hAnsi="Noto Sans Semibold" w:cs="Noto Sans Semibold"/>
          <w:b/>
          <w:bCs/>
          <w:color w:val="0080A8"/>
          <w:sz w:val="30"/>
          <w:szCs w:val="30"/>
        </w:rPr>
        <w:t>Visualizing Attribute Space (Real Trace + Hilbert Transform)</w:t>
      </w:r>
    </w:p>
    <w:p w14:paraId="510D7AFB" w14:textId="77777777" w:rsidR="002324DD" w:rsidRDefault="00F9418D">
      <w:pPr>
        <w:spacing w:after="160"/>
      </w:pPr>
      <w:r>
        <w:t>Using only two attributes, the real trace and its Hilbert transform (a 90-degree phase rotation of the input trace), attribute space becomes two-dimensional and can be directly visualized.</w:t>
      </w:r>
    </w:p>
    <w:p w14:paraId="0D33CFEB" w14:textId="77777777" w:rsidR="002324DD" w:rsidRDefault="00F9418D">
      <w:pPr>
        <w:pStyle w:val="ListParagraph"/>
        <w:numPr>
          <w:ilvl w:val="0"/>
          <w:numId w:val="1"/>
        </w:numPr>
        <w:spacing w:after="80"/>
      </w:pPr>
      <w:r>
        <w:t xml:space="preserve">A Hilbert </w:t>
      </w:r>
      <w:proofErr w:type="gramStart"/>
      <w:r>
        <w:t>transform converts</w:t>
      </w:r>
      <w:proofErr w:type="gramEnd"/>
      <w:r>
        <w:t xml:space="preserve"> a symmetric event into an antisymmetric one, and vice versa: a symmetric peak event's Hilbert transform is an antisymmetric trough-over-peak event.</w:t>
      </w:r>
    </w:p>
    <w:p w14:paraId="17BC30F5" w14:textId="77777777" w:rsidR="002324DD" w:rsidRDefault="00F9418D">
      <w:pPr>
        <w:pStyle w:val="ListParagraph"/>
        <w:numPr>
          <w:ilvl w:val="0"/>
          <w:numId w:val="1"/>
        </w:numPr>
        <w:spacing w:after="80"/>
      </w:pPr>
      <w:r>
        <w:t>At low noise, all 100 samples of a given reflection event land at (essentially) the same point in attribute space, forming a tight natural cluster. Most winning neurons cluster at the center of highest information density, though some winning neurons extend toward the periphery to cover outlying samples.</w:t>
      </w:r>
    </w:p>
    <w:p w14:paraId="29AEDE87" w14:textId="77777777" w:rsidR="002324DD" w:rsidRDefault="00F9418D">
      <w:pPr>
        <w:pStyle w:val="ListParagraph"/>
        <w:numPr>
          <w:ilvl w:val="0"/>
          <w:numId w:val="1"/>
        </w:numPr>
        <w:spacing w:after="80"/>
      </w:pPr>
      <w:r>
        <w:t xml:space="preserve">As noise increases, the natural cluster broadens, but it remains just as legitimate and </w:t>
      </w:r>
      <w:proofErr w:type="gramStart"/>
      <w:r>
        <w:t>important</w:t>
      </w:r>
      <w:proofErr w:type="gramEnd"/>
      <w:r>
        <w:t xml:space="preserve"> a natural cluster as a tight one.</w:t>
      </w:r>
    </w:p>
    <w:p w14:paraId="349BAB5F" w14:textId="77777777" w:rsidR="002324DD" w:rsidRDefault="00F9418D">
      <w:pPr>
        <w:pStyle w:val="ListParagraph"/>
        <w:numPr>
          <w:ilvl w:val="0"/>
          <w:numId w:val="1"/>
        </w:numPr>
        <w:spacing w:after="80"/>
      </w:pPr>
      <w:r>
        <w:lastRenderedPageBreak/>
        <w:t>With only two attributes, the full behavior of samples and winning neurons in attribute space can be directly visualized. With 10 or 20 attributes, this direct visualization is no longer possible.</w:t>
      </w:r>
    </w:p>
    <w:p w14:paraId="530A3C8B" w14:textId="77777777" w:rsidR="002324DD" w:rsidRDefault="00F9418D">
      <w:pPr>
        <w:spacing w:after="160"/>
      </w:pPr>
      <w:r>
        <w:t xml:space="preserve">Zooming toward the origin (zero, zero) under high </w:t>
      </w:r>
      <w:proofErr w:type="gramStart"/>
      <w:r>
        <w:t>noise, and</w:t>
      </w:r>
      <w:proofErr w:type="gramEnd"/>
      <w:r>
        <w:t xml:space="preserve"> applying a random color map to maximize contrast between adjacent winning neurons, reveals that even samples near zero amplitude (including samples in the mute zone) are classified along with everything else. The visible boundaries between adjacent classification regions are Voronoi cell boundaries: the boundary between two winning neurons' classification regions is the perpendicular bisector of the line connecting those two neurons. Classification regions extend further into areas where sample d</w:t>
      </w:r>
      <w:r>
        <w:t>ensity is more diffuse.</w:t>
      </w:r>
    </w:p>
    <w:p w14:paraId="4AC182F4" w14:textId="77777777" w:rsidR="002324DD" w:rsidRDefault="00F9418D">
      <w:pPr>
        <w:spacing w:after="160"/>
      </w:pPr>
      <w:r>
        <w:t>Looking closely at the symmetric peak event and its winning neuron: since the Hilbert transform of the peak sample at the top of the event is zero, that sample plots with a large value on the real-trace axis and a value of zero on the Hilbert-transform axis. This location corresponds to the winning neuron associated with the symmetric peak event, allowing the classification to be traced sample by sample, across all 100 traces and multiple noise levels, back to the original model trace.</w:t>
      </w:r>
    </w:p>
    <w:p w14:paraId="7CC9980A" w14:textId="77777777" w:rsidR="002324DD" w:rsidRDefault="00F9418D">
      <w:pPr>
        <w:pStyle w:val="Heading2"/>
        <w:spacing w:before="320" w:after="140"/>
      </w:pPr>
      <w:r>
        <w:rPr>
          <w:rFonts w:ascii="Noto Sans Semibold" w:eastAsia="Noto Sans Semibold" w:hAnsi="Noto Sans Semibold" w:cs="Noto Sans Semibold"/>
          <w:b/>
          <w:bCs/>
          <w:color w:val="0080A8"/>
          <w:sz w:val="30"/>
          <w:szCs w:val="30"/>
        </w:rPr>
        <w:t>The Classic Wedge Model and Tuning Thickness</w:t>
      </w:r>
    </w:p>
    <w:p w14:paraId="5CDAA9D2" w14:textId="77777777" w:rsidR="002324DD" w:rsidRDefault="00F9418D">
      <w:pPr>
        <w:spacing w:after="160"/>
      </w:pPr>
      <w:r>
        <w:t>The classic wedge model is a one-dimensional wedge with thickness varying from 60 milliseconds on the left to zero milliseconds on the right (the rightmost trace is a flat line, since the top and bottom reflections coincide). The model uses a 30 Hz symmetric wavelet, a 1-millisecond sample interval, no noise, and opposite-polarity reflection coefficients for the top and bottom of the wedge.</w:t>
      </w:r>
    </w:p>
    <w:p w14:paraId="4BB1D699" w14:textId="77777777" w:rsidR="002324DD" w:rsidRDefault="00F9418D">
      <w:pPr>
        <w:spacing w:after="160"/>
      </w:pPr>
      <w:r>
        <w:rPr>
          <w:b/>
          <w:bCs/>
          <w:color w:val="005563"/>
        </w:rPr>
        <w:t>Tuning thickness</w:t>
      </w:r>
      <w:r>
        <w:t xml:space="preserve"> is the thickness at which the peak from one reflector and the trough from the other (or vice versa) constructively interfere, producing the maximum buildup of amplitude. Above tuning thickness, the wedge is thicker than this point; below tuning thickness, the wedge is thinner, and amplitude falls off as thickness continues to decrease toward zero.</w:t>
      </w:r>
    </w:p>
    <w:p w14:paraId="00828859" w14:textId="77777777" w:rsidR="002324DD" w:rsidRDefault="00F9418D">
      <w:pPr>
        <w:spacing w:after="160"/>
      </w:pPr>
      <w:r>
        <w:t>SOM classifications of the wedge model were examined at low, medium, and high noise, with the region at and below tuning thickness enlarged for inspection. Results were shown using both a smooth color map (so the eye can naturally follow the classification bands) and a random color map (which removes any perceptual bias from color similarity). Using the random color map at high noise, the classification bands could be tracked well below tuning thickness, in some cases nearly to the second or third trace bey</w:t>
      </w:r>
      <w:r>
        <w:t>ond it. This demonstrates a key advantage of the machine learning approach: by using natural clusters in attribute space, it is possible to track bed thickness information significantly farther below conventional tuning thickness than is possible using amplitude interference effects alone.</w:t>
      </w:r>
    </w:p>
    <w:p w14:paraId="2AB56CDD" w14:textId="77777777" w:rsidR="002324DD" w:rsidRDefault="00F9418D">
      <w:pPr>
        <w:pStyle w:val="Heading2"/>
        <w:spacing w:before="320" w:after="140"/>
      </w:pPr>
      <w:r>
        <w:rPr>
          <w:rFonts w:ascii="Noto Sans Semibold" w:eastAsia="Noto Sans Semibold" w:hAnsi="Noto Sans Semibold" w:cs="Noto Sans Semibold"/>
          <w:b/>
          <w:bCs/>
          <w:color w:val="0080A8"/>
          <w:sz w:val="30"/>
          <w:szCs w:val="30"/>
        </w:rPr>
        <w:t>Effect of Increasing the Number of Attributes</w:t>
      </w:r>
    </w:p>
    <w:p w14:paraId="0D1E2C69" w14:textId="77777777" w:rsidR="002324DD" w:rsidRDefault="00F9418D">
      <w:pPr>
        <w:spacing w:after="160"/>
      </w:pPr>
      <w:r>
        <w:t>A progression of attribute selection lists was examined:</w:t>
      </w:r>
    </w:p>
    <w:p w14:paraId="599A7A1E" w14:textId="77777777" w:rsidR="002324DD" w:rsidRDefault="00F9418D">
      <w:pPr>
        <w:pStyle w:val="ListParagraph"/>
        <w:numPr>
          <w:ilvl w:val="0"/>
          <w:numId w:val="1"/>
        </w:numPr>
        <w:spacing w:after="80"/>
      </w:pPr>
      <w:r>
        <w:rPr>
          <w:b/>
          <w:bCs/>
          <w:color w:val="005563"/>
        </w:rPr>
        <w:t>Attributes 1-5 (basic amplitude-derived set):</w:t>
      </w:r>
      <w:r>
        <w:t xml:space="preserve"> the real trace and Hilbert transform (a Cartesian representation, analogous to real and imaginary parts of a complex signal), along with envelope and phase (a radial representation of the same information, where envelope is vector length and phase is direction), and frequency (the rotation rate of phase).</w:t>
      </w:r>
    </w:p>
    <w:p w14:paraId="164BBB69" w14:textId="77777777" w:rsidR="002324DD" w:rsidRDefault="00F9418D">
      <w:pPr>
        <w:pStyle w:val="ListParagraph"/>
        <w:numPr>
          <w:ilvl w:val="0"/>
          <w:numId w:val="1"/>
        </w:numPr>
        <w:spacing w:after="80"/>
      </w:pPr>
      <w:r>
        <w:rPr>
          <w:b/>
          <w:bCs/>
          <w:color w:val="005563"/>
        </w:rPr>
        <w:lastRenderedPageBreak/>
        <w:t>Attributes 6-16:</w:t>
      </w:r>
      <w:r>
        <w:t xml:space="preserve"> additional common single-trace attributes, including first and second derivatives of the envelope, and hybrid attributes such as sweetness and relative acoustic impedance.</w:t>
      </w:r>
    </w:p>
    <w:p w14:paraId="72617984" w14:textId="77777777" w:rsidR="002324DD" w:rsidRDefault="00F9418D">
      <w:pPr>
        <w:pStyle w:val="ListParagraph"/>
        <w:numPr>
          <w:ilvl w:val="0"/>
          <w:numId w:val="1"/>
        </w:numPr>
        <w:spacing w:after="80"/>
      </w:pPr>
      <w:r>
        <w:rPr>
          <w:b/>
          <w:bCs/>
          <w:color w:val="005563"/>
        </w:rPr>
        <w:t>Attributes 17-27:</w:t>
      </w:r>
      <w:r>
        <w:t xml:space="preserve"> attributes based on changes in phase or envelope ("wavelet breaks").</w:t>
      </w:r>
    </w:p>
    <w:p w14:paraId="207FBD02" w14:textId="77777777" w:rsidR="002324DD" w:rsidRDefault="00F9418D">
      <w:pPr>
        <w:spacing w:after="160"/>
      </w:pPr>
      <w:r>
        <w:t>All of these are single-trace attributes, derived entirely from the same underlying amplitude trace, with no additional independent information.</w:t>
      </w:r>
    </w:p>
    <w:p w14:paraId="5F82B989" w14:textId="77777777" w:rsidR="002324DD" w:rsidRDefault="00F9418D">
      <w:pPr>
        <w:spacing w:after="160"/>
      </w:pPr>
      <w:r>
        <w:t>Comparing SOM results using 2, 7, 20, and 27 attributes (all with 8x8, 64-neuron topologies) showed progressively better ability to track classifications below tuning thickness as the attribute count increased. Even though all 27 attributes were mathematically derived from the same single amplitude trace, using them together produced substantially better classification results than using only two attributes. This improvement is explained as a form of stacking in attribute space: with more attributes describ</w:t>
      </w:r>
      <w:r>
        <w:t>ing the same underlying signal, natural clusters become more distinct, since all attribute values for similar samples align more closely across every dimension.</w:t>
      </w:r>
    </w:p>
    <w:p w14:paraId="3514A55F" w14:textId="77777777" w:rsidR="002324DD" w:rsidRDefault="00F9418D">
      <w:pPr>
        <w:pStyle w:val="Heading3"/>
        <w:spacing w:before="240" w:after="100"/>
      </w:pPr>
      <w:r>
        <w:rPr>
          <w:rFonts w:ascii="Noto Sans Semibold" w:eastAsia="Noto Sans Semibold" w:hAnsi="Noto Sans Semibold" w:cs="Noto Sans Semibold"/>
          <w:b/>
          <w:bCs/>
          <w:color w:val="005563"/>
        </w:rPr>
        <w:t>Sample Counts and Density</w:t>
      </w:r>
    </w:p>
    <w:p w14:paraId="7418F6DD" w14:textId="77777777" w:rsidR="002324DD" w:rsidRDefault="00F9418D">
      <w:pPr>
        <w:spacing w:after="160"/>
      </w:pPr>
      <w:r>
        <w:t>Comparing winning-neuron sample counts between the 2-attribute and 27-attribute cases shows that with only two attributes, information concentrates into a small number of winning neurons, whereas with 27 attributes, the same information spreads out (is more diffuse) across the neuron topology map. The same broadening trend appears in relative density and in the minimum/maximum distance from each winning neuron to its nearest and farthest associated samples. The underlying principle is a form of stacking: mo</w:t>
      </w:r>
      <w:r>
        <w:t>re attributes of a similar kind (all derived from the same trace) distribute information over a broader area of the neuron topology map, producing more detailed classifications.</w:t>
      </w:r>
    </w:p>
    <w:p w14:paraId="7CC375D1" w14:textId="77777777" w:rsidR="002324DD" w:rsidRDefault="00F9418D">
      <w:pPr>
        <w:pStyle w:val="Heading2"/>
        <w:spacing w:before="320" w:after="140"/>
      </w:pPr>
      <w:r>
        <w:rPr>
          <w:rFonts w:ascii="Noto Sans Semibold" w:eastAsia="Noto Sans Semibold" w:hAnsi="Noto Sans Semibold" w:cs="Noto Sans Semibold"/>
          <w:b/>
          <w:bCs/>
          <w:color w:val="0080A8"/>
          <w:sz w:val="30"/>
          <w:szCs w:val="30"/>
        </w:rPr>
        <w:t>Three Types of Seismic Samples</w:t>
      </w:r>
    </w:p>
    <w:p w14:paraId="718BC4BD" w14:textId="77777777" w:rsidR="002324DD" w:rsidRDefault="00F9418D">
      <w:pPr>
        <w:pStyle w:val="ListParagraph"/>
        <w:numPr>
          <w:ilvl w:val="0"/>
          <w:numId w:val="2"/>
        </w:numPr>
        <w:spacing w:after="80"/>
      </w:pPr>
      <w:r>
        <w:rPr>
          <w:b/>
          <w:bCs/>
          <w:color w:val="005563"/>
        </w:rPr>
        <w:t>Simple seismic sample:</w:t>
      </w:r>
      <w:r>
        <w:t xml:space="preserve"> a single value (typically amplitude) associated with one reflection wavelet, used traditionally for structural interpretation, fault picking, and amplitude anomaly analysis (such as AVO Class 2 anomalies).</w:t>
      </w:r>
    </w:p>
    <w:p w14:paraId="1A078391" w14:textId="77777777" w:rsidR="002324DD" w:rsidRDefault="00F9418D">
      <w:pPr>
        <w:pStyle w:val="ListParagraph"/>
        <w:numPr>
          <w:ilvl w:val="0"/>
          <w:numId w:val="2"/>
        </w:numPr>
        <w:spacing w:after="80"/>
      </w:pPr>
      <w:r>
        <w:rPr>
          <w:b/>
          <w:bCs/>
          <w:color w:val="005563"/>
        </w:rPr>
        <w:t>Multi-attribute sample:</w:t>
      </w:r>
      <w:r>
        <w:t xml:space="preserve"> a vector at a single trace-sample location in time or depth, where each vector component is a different seismic attribute computed at that point. For SOM analysis, each attribute is scaled to zero </w:t>
      </w:r>
      <w:proofErr w:type="gramStart"/>
      <w:r>
        <w:t>mean</w:t>
      </w:r>
      <w:proofErr w:type="gramEnd"/>
      <w:r>
        <w:t xml:space="preserve"> and unit variance, so that all attributes carry equal weight when searching for structure in attribute space.</w:t>
      </w:r>
    </w:p>
    <w:p w14:paraId="2D4F23B9" w14:textId="77777777" w:rsidR="002324DD" w:rsidRDefault="00F9418D">
      <w:pPr>
        <w:pStyle w:val="ListParagraph"/>
        <w:numPr>
          <w:ilvl w:val="0"/>
          <w:numId w:val="2"/>
        </w:numPr>
        <w:spacing w:after="80"/>
      </w:pPr>
      <w:r>
        <w:rPr>
          <w:b/>
          <w:bCs/>
          <w:color w:val="005563"/>
        </w:rPr>
        <w:t>Self-defining sample:</w:t>
      </w:r>
      <w:r>
        <w:t xml:space="preserve"> a sample whose properties are discovered directly by a deep learning methodology, rather than being explicitly defined by the interpreter.</w:t>
      </w:r>
    </w:p>
    <w:p w14:paraId="501A4613" w14:textId="77777777" w:rsidR="002324DD" w:rsidRDefault="00F9418D">
      <w:pPr>
        <w:pStyle w:val="Heading2"/>
        <w:spacing w:before="320" w:after="140"/>
      </w:pPr>
      <w:r>
        <w:rPr>
          <w:rFonts w:ascii="Noto Sans Semibold" w:eastAsia="Noto Sans Semibold" w:hAnsi="Noto Sans Semibold" w:cs="Noto Sans Semibold"/>
          <w:b/>
          <w:bCs/>
          <w:color w:val="0080A8"/>
          <w:sz w:val="30"/>
          <w:szCs w:val="30"/>
        </w:rPr>
        <w:t>Wavelet-Based SOM Classification (</w:t>
      </w:r>
      <w:proofErr w:type="spellStart"/>
      <w:r>
        <w:rPr>
          <w:rFonts w:ascii="Noto Sans Semibold" w:eastAsia="Noto Sans Semibold" w:hAnsi="Noto Sans Semibold" w:cs="Noto Sans Semibold"/>
          <w:b/>
          <w:bCs/>
          <w:color w:val="0080A8"/>
          <w:sz w:val="30"/>
          <w:szCs w:val="30"/>
        </w:rPr>
        <w:t>StrataMagic</w:t>
      </w:r>
      <w:proofErr w:type="spellEnd"/>
      <w:r>
        <w:rPr>
          <w:rFonts w:ascii="Noto Sans Semibold" w:eastAsia="Noto Sans Semibold" w:hAnsi="Noto Sans Semibold" w:cs="Noto Sans Semibold"/>
          <w:b/>
          <w:bCs/>
          <w:color w:val="0080A8"/>
          <w:sz w:val="30"/>
          <w:szCs w:val="30"/>
        </w:rPr>
        <w:t>-Style Analysis)</w:t>
      </w:r>
    </w:p>
    <w:p w14:paraId="1AFF26E3" w14:textId="77777777" w:rsidR="002324DD" w:rsidRDefault="00F9418D">
      <w:pPr>
        <w:spacing w:after="160"/>
      </w:pPr>
      <w:r>
        <w:t xml:space="preserve">An alternative SOM application, </w:t>
      </w:r>
      <w:proofErr w:type="gramStart"/>
      <w:r>
        <w:t>similar to</w:t>
      </w:r>
      <w:proofErr w:type="gramEnd"/>
      <w:r>
        <w:t xml:space="preserve"> earlier </w:t>
      </w:r>
      <w:proofErr w:type="spellStart"/>
      <w:r>
        <w:t>StrataMagic</w:t>
      </w:r>
      <w:proofErr w:type="spellEnd"/>
      <w:r>
        <w:t xml:space="preserve">-style analysis, classifies reflection wavelets rather than multi-attribute samples. In this approach, an auto-picked horizon may have on the order of 100,000 (or even a million) pick points; at each point, a </w:t>
      </w:r>
      <w:proofErr w:type="gramStart"/>
      <w:r>
        <w:t>small time</w:t>
      </w:r>
      <w:proofErr w:type="gramEnd"/>
      <w:r>
        <w:t xml:space="preserve"> window above and below the horizon captures a mini reflection wavelet, and each such wavelet becomes a vector to be classified. This approach is </w:t>
      </w:r>
      <w:proofErr w:type="gramStart"/>
      <w:r>
        <w:t>interested</w:t>
      </w:r>
      <w:proofErr w:type="gramEnd"/>
      <w:r>
        <w:t xml:space="preserve"> in the shape of the wavelet along the horizon, so residual time shifts from mispicking are corrected, and </w:t>
      </w:r>
      <w:r>
        <w:t xml:space="preserve">overall amplitude level may or may not be normalized depending on the interpretation question. If amplitude variation is left in the data, strong reflections will classify differently from weak reflections even when their shapes are </w:t>
      </w:r>
      <w:r>
        <w:lastRenderedPageBreak/>
        <w:t>identical, which may be desirable when investigating AVO-related effects, or undesirable when only shape is of interest.</w:t>
      </w:r>
    </w:p>
    <w:p w14:paraId="4983A017" w14:textId="77777777" w:rsidR="002324DD" w:rsidRDefault="00F9418D">
      <w:pPr>
        <w:pStyle w:val="Heading2"/>
        <w:spacing w:before="320" w:after="140"/>
      </w:pPr>
      <w:r>
        <w:rPr>
          <w:rFonts w:ascii="Noto Sans Semibold" w:eastAsia="Noto Sans Semibold" w:hAnsi="Noto Sans Semibold" w:cs="Noto Sans Semibold"/>
          <w:b/>
          <w:bCs/>
          <w:color w:val="0080A8"/>
          <w:sz w:val="30"/>
          <w:szCs w:val="30"/>
        </w:rPr>
        <w:t>Summary</w:t>
      </w:r>
    </w:p>
    <w:p w14:paraId="59A17316" w14:textId="77777777" w:rsidR="002324DD" w:rsidRDefault="00F9418D">
      <w:pPr>
        <w:spacing w:after="160"/>
      </w:pPr>
      <w:r>
        <w:t xml:space="preserve">Color bands representing classifications were shown tracking far below conventional tuning thickness. The unique properties of natural clusters and machine learning in attribute space allow visualization far below what conventional interference-based methods can resolve. Increasing the number of derived attributes generated from the same amplitude trace acts as a form of stacking in attribute space, making natural clusters more distinct. More attributes of a similar kind are distributed over a broader area </w:t>
      </w:r>
      <w:r>
        <w:t>of the neuron topology map, producing more detailed classifications. A multi-attribute sample is a vector at a single trace sample in time or depth, with each vector component representing a seismic attribute. A reflection wavelet, by contrast, is a vector at a CDP bin, where the relationship between vector components preserves the wavelet's shape.</w:t>
      </w:r>
    </w:p>
    <w:sectPr w:rsidR="002324DD">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B365" w14:textId="77777777" w:rsidR="00F9418D" w:rsidRDefault="00F9418D">
      <w:r>
        <w:separator/>
      </w:r>
    </w:p>
  </w:endnote>
  <w:endnote w:type="continuationSeparator" w:id="0">
    <w:p w14:paraId="1AE56B22" w14:textId="77777777" w:rsidR="00F9418D" w:rsidRDefault="00F9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D963" w14:textId="77777777" w:rsidR="002324DD" w:rsidRDefault="00F9418D">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CB0B41">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A97B5" w14:textId="77777777" w:rsidR="00F9418D" w:rsidRDefault="00F9418D">
      <w:r>
        <w:separator/>
      </w:r>
    </w:p>
  </w:footnote>
  <w:footnote w:type="continuationSeparator" w:id="0">
    <w:p w14:paraId="35728423" w14:textId="77777777" w:rsidR="00F9418D" w:rsidRDefault="00F94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CD80" w14:textId="77777777" w:rsidR="002324DD" w:rsidRDefault="00F9418D">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5031"/>
    <w:multiLevelType w:val="hybridMultilevel"/>
    <w:tmpl w:val="777C32BA"/>
    <w:lvl w:ilvl="0" w:tplc="6348500E">
      <w:start w:val="1"/>
      <w:numFmt w:val="decimal"/>
      <w:lvlText w:val="%1."/>
      <w:lvlJc w:val="left"/>
      <w:pPr>
        <w:ind w:left="460" w:hanging="260"/>
      </w:pPr>
    </w:lvl>
    <w:lvl w:ilvl="1" w:tplc="87BEECF6">
      <w:numFmt w:val="decimal"/>
      <w:lvlText w:val=""/>
      <w:lvlJc w:val="left"/>
    </w:lvl>
    <w:lvl w:ilvl="2" w:tplc="487C5048">
      <w:numFmt w:val="decimal"/>
      <w:lvlText w:val=""/>
      <w:lvlJc w:val="left"/>
    </w:lvl>
    <w:lvl w:ilvl="3" w:tplc="2B28F3A8">
      <w:numFmt w:val="decimal"/>
      <w:lvlText w:val=""/>
      <w:lvlJc w:val="left"/>
    </w:lvl>
    <w:lvl w:ilvl="4" w:tplc="3D14BA9A">
      <w:numFmt w:val="decimal"/>
      <w:lvlText w:val=""/>
      <w:lvlJc w:val="left"/>
    </w:lvl>
    <w:lvl w:ilvl="5" w:tplc="5BEE46A8">
      <w:numFmt w:val="decimal"/>
      <w:lvlText w:val=""/>
      <w:lvlJc w:val="left"/>
    </w:lvl>
    <w:lvl w:ilvl="6" w:tplc="1AE07778">
      <w:numFmt w:val="decimal"/>
      <w:lvlText w:val=""/>
      <w:lvlJc w:val="left"/>
    </w:lvl>
    <w:lvl w:ilvl="7" w:tplc="D9E4A010">
      <w:numFmt w:val="decimal"/>
      <w:lvlText w:val=""/>
      <w:lvlJc w:val="left"/>
    </w:lvl>
    <w:lvl w:ilvl="8" w:tplc="37B6BEB4">
      <w:numFmt w:val="decimal"/>
      <w:lvlText w:val=""/>
      <w:lvlJc w:val="left"/>
    </w:lvl>
  </w:abstractNum>
  <w:abstractNum w:abstractNumId="1" w15:restartNumberingAfterBreak="0">
    <w:nsid w:val="391347AB"/>
    <w:multiLevelType w:val="hybridMultilevel"/>
    <w:tmpl w:val="53929EC0"/>
    <w:lvl w:ilvl="0" w:tplc="A810E70E">
      <w:start w:val="1"/>
      <w:numFmt w:val="bullet"/>
      <w:lvlText w:val="●"/>
      <w:lvlJc w:val="left"/>
      <w:pPr>
        <w:ind w:left="720" w:hanging="360"/>
      </w:pPr>
    </w:lvl>
    <w:lvl w:ilvl="1" w:tplc="BD2CFA74">
      <w:start w:val="1"/>
      <w:numFmt w:val="bullet"/>
      <w:lvlText w:val="○"/>
      <w:lvlJc w:val="left"/>
      <w:pPr>
        <w:ind w:left="1440" w:hanging="360"/>
      </w:pPr>
    </w:lvl>
    <w:lvl w:ilvl="2" w:tplc="DCF08654">
      <w:start w:val="1"/>
      <w:numFmt w:val="bullet"/>
      <w:lvlText w:val="■"/>
      <w:lvlJc w:val="left"/>
      <w:pPr>
        <w:ind w:left="2160" w:hanging="360"/>
      </w:pPr>
    </w:lvl>
    <w:lvl w:ilvl="3" w:tplc="E9B6B2C4">
      <w:start w:val="1"/>
      <w:numFmt w:val="bullet"/>
      <w:lvlText w:val="●"/>
      <w:lvlJc w:val="left"/>
      <w:pPr>
        <w:ind w:left="2880" w:hanging="360"/>
      </w:pPr>
    </w:lvl>
    <w:lvl w:ilvl="4" w:tplc="C096C02C">
      <w:start w:val="1"/>
      <w:numFmt w:val="bullet"/>
      <w:lvlText w:val="○"/>
      <w:lvlJc w:val="left"/>
      <w:pPr>
        <w:ind w:left="3600" w:hanging="360"/>
      </w:pPr>
    </w:lvl>
    <w:lvl w:ilvl="5" w:tplc="052A57CA">
      <w:start w:val="1"/>
      <w:numFmt w:val="bullet"/>
      <w:lvlText w:val="■"/>
      <w:lvlJc w:val="left"/>
      <w:pPr>
        <w:ind w:left="4320" w:hanging="360"/>
      </w:pPr>
    </w:lvl>
    <w:lvl w:ilvl="6" w:tplc="6C6853B2">
      <w:start w:val="1"/>
      <w:numFmt w:val="bullet"/>
      <w:lvlText w:val="●"/>
      <w:lvlJc w:val="left"/>
      <w:pPr>
        <w:ind w:left="5040" w:hanging="360"/>
      </w:pPr>
    </w:lvl>
    <w:lvl w:ilvl="7" w:tplc="302ED2EE">
      <w:start w:val="1"/>
      <w:numFmt w:val="bullet"/>
      <w:lvlText w:val="●"/>
      <w:lvlJc w:val="left"/>
      <w:pPr>
        <w:ind w:left="5760" w:hanging="360"/>
      </w:pPr>
    </w:lvl>
    <w:lvl w:ilvl="8" w:tplc="82848294">
      <w:start w:val="1"/>
      <w:numFmt w:val="bullet"/>
      <w:lvlText w:val="●"/>
      <w:lvlJc w:val="left"/>
      <w:pPr>
        <w:ind w:left="6480" w:hanging="360"/>
      </w:pPr>
    </w:lvl>
  </w:abstractNum>
  <w:num w:numId="1" w16cid:durableId="2080054689">
    <w:abstractNumId w:val="1"/>
    <w:lvlOverride w:ilvl="0">
      <w:startOverride w:val="1"/>
    </w:lvlOverride>
  </w:num>
  <w:num w:numId="2" w16cid:durableId="4077280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4DD"/>
    <w:rsid w:val="000B1CE4"/>
    <w:rsid w:val="002324DD"/>
    <w:rsid w:val="00CB0B41"/>
    <w:rsid w:val="00F94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8AE80"/>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6A7EA6-439F-418B-B0EF-19231A9E48D2}"/>
</file>

<file path=customXml/itemProps2.xml><?xml version="1.0" encoding="utf-8"?>
<ds:datastoreItem xmlns:ds="http://schemas.openxmlformats.org/officeDocument/2006/customXml" ds:itemID="{8831BA46-0378-49F2-817B-7D81258B4805}"/>
</file>

<file path=customXml/itemProps3.xml><?xml version="1.0" encoding="utf-8"?>
<ds:datastoreItem xmlns:ds="http://schemas.openxmlformats.org/officeDocument/2006/customXml" ds:itemID="{C4C6FD13-82F6-4924-82DE-C7E29AECEC6C}"/>
</file>

<file path=docProps/app.xml><?xml version="1.0" encoding="utf-8"?>
<Properties xmlns="http://schemas.openxmlformats.org/officeDocument/2006/extended-properties" xmlns:vt="http://schemas.openxmlformats.org/officeDocument/2006/docPropsVTypes">
  <Template>Normal.dotm</Template>
  <TotalTime>2</TotalTime>
  <Pages>5</Pages>
  <Words>1582</Words>
  <Characters>9020</Characters>
  <Application>Microsoft Office Word</Application>
  <DocSecurity>0</DocSecurity>
  <Lines>75</Lines>
  <Paragraphs>21</Paragraphs>
  <ScaleCrop>false</ScaleCrop>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2026-08-04T20:57:00Z</dcterms:created>
  <dcterms:modified xsi:type="dcterms:W3CDTF">2026-08-04T20:57:00Z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