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BE839" w14:textId="77777777" w:rsidR="00963646" w:rsidRDefault="00D4755E">
      <w:pPr>
        <w:spacing w:before="400" w:after="500"/>
      </w:pPr>
      <w:r>
        <w:rPr>
          <w:noProof/>
        </w:rPr>
        <w:drawing>
          <wp:inline distT="0" distB="0" distL="0" distR="0" wp14:anchorId="4F075546" wp14:editId="675F35F2">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0378B34B" w14:textId="77777777" w:rsidR="00963646" w:rsidRDefault="00D4755E">
      <w:pPr>
        <w:spacing w:before="800" w:after="120"/>
      </w:pPr>
      <w:r>
        <w:rPr>
          <w:rFonts w:ascii="Noto Sans Semibold" w:eastAsia="Noto Sans Semibold" w:hAnsi="Noto Sans Semibold" w:cs="Noto Sans Semibold"/>
          <w:b/>
          <w:bCs/>
          <w:color w:val="005563"/>
          <w:sz w:val="56"/>
          <w:szCs w:val="56"/>
        </w:rPr>
        <w:t>Probability Sampling</w:t>
      </w:r>
    </w:p>
    <w:p w14:paraId="4882FCE4" w14:textId="77777777" w:rsidR="00963646" w:rsidRDefault="00963646">
      <w:pPr>
        <w:pBdr>
          <w:bottom w:val="single" w:sz="18" w:space="8" w:color="F7941D"/>
        </w:pBdr>
        <w:spacing w:after="300"/>
      </w:pPr>
    </w:p>
    <w:p w14:paraId="642C9CF4" w14:textId="77777777" w:rsidR="00963646" w:rsidRDefault="00D4755E">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1E8E2C96" w14:textId="77777777" w:rsidR="00963646" w:rsidRDefault="00D4755E">
      <w:r>
        <w:br w:type="page"/>
      </w:r>
    </w:p>
    <w:p w14:paraId="4F513834" w14:textId="77777777" w:rsidR="00963646" w:rsidRDefault="00D4755E">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79E60831" w14:textId="77777777" w:rsidR="00963646" w:rsidRDefault="00D4755E">
      <w:pPr>
        <w:spacing w:after="160"/>
      </w:pPr>
      <w:r>
        <w:t>This session covers the concepts and requirements for properly sampling data, with a focus on probability sampling.</w:t>
      </w:r>
    </w:p>
    <w:p w14:paraId="08D52FD3" w14:textId="77777777" w:rsidR="00963646" w:rsidRDefault="00D4755E">
      <w:pPr>
        <w:pStyle w:val="Heading2"/>
        <w:spacing w:before="320" w:after="140"/>
      </w:pPr>
      <w:r>
        <w:rPr>
          <w:rFonts w:ascii="Noto Sans Semibold" w:eastAsia="Noto Sans Semibold" w:hAnsi="Noto Sans Semibold" w:cs="Noto Sans Semibold"/>
          <w:b/>
          <w:bCs/>
          <w:color w:val="0080A8"/>
          <w:sz w:val="30"/>
          <w:szCs w:val="30"/>
        </w:rPr>
        <w:t xml:space="preserve">Review: From Attributes to </w:t>
      </w:r>
      <w:proofErr w:type="spellStart"/>
      <w:r>
        <w:rPr>
          <w:rFonts w:ascii="Noto Sans Semibold" w:eastAsia="Noto Sans Semibold" w:hAnsi="Noto Sans Semibold" w:cs="Noto Sans Semibold"/>
          <w:b/>
          <w:bCs/>
          <w:color w:val="0080A8"/>
          <w:sz w:val="30"/>
          <w:szCs w:val="30"/>
        </w:rPr>
        <w:t>Geobodies</w:t>
      </w:r>
      <w:proofErr w:type="spellEnd"/>
    </w:p>
    <w:p w14:paraId="7598540B" w14:textId="77777777" w:rsidR="00963646" w:rsidRDefault="00D4755E">
      <w:pPr>
        <w:spacing w:after="160"/>
      </w:pPr>
      <w:r>
        <w:t>A quick review of the overall workflow: amplitude data is used to calculate attributes appropriate to a specific geologic question, an unsupervised neural network (SOM) is trained on those attributes, and the resulting set of winning neurons is used to classify the entire zone of interest. The number of possible classifications depends on the neuron topology used (for example, an 8x8 topology yields 64 possible winning-neuron classes), and results can be color-mapped in any way desired, including making mos</w:t>
      </w:r>
      <w:r>
        <w:t xml:space="preserve">t classes transparent to isolate and view the </w:t>
      </w:r>
      <w:proofErr w:type="spellStart"/>
      <w:r>
        <w:t>geobodies</w:t>
      </w:r>
      <w:proofErr w:type="spellEnd"/>
      <w:r>
        <w:t xml:space="preserve"> for a single winning neuron of interest.</w:t>
      </w:r>
    </w:p>
    <w:p w14:paraId="6FDD1225" w14:textId="77777777" w:rsidR="00963646" w:rsidRDefault="00D4755E">
      <w:pPr>
        <w:spacing w:after="160"/>
      </w:pPr>
      <w:r>
        <w:t xml:space="preserve">From the classification, a </w:t>
      </w:r>
      <w:proofErr w:type="spellStart"/>
      <w:r>
        <w:t>geoscanning</w:t>
      </w:r>
      <w:proofErr w:type="spellEnd"/>
      <w:r>
        <w:t xml:space="preserve"> process is applied to identify all contiguous, connected </w:t>
      </w:r>
      <w:proofErr w:type="spellStart"/>
      <w:r>
        <w:t>geobodies</w:t>
      </w:r>
      <w:proofErr w:type="spellEnd"/>
      <w:r>
        <w:t xml:space="preserve"> associated with each winning neuron. Starting with the first winning neuron index, the process grows a connected region outward in all directions until no further connected samples remain, assigns that region a </w:t>
      </w:r>
      <w:proofErr w:type="spellStart"/>
      <w:r>
        <w:t>geobody</w:t>
      </w:r>
      <w:proofErr w:type="spellEnd"/>
      <w:r>
        <w:t xml:space="preserve"> number, and continues scanning the survey, potentially finding many separate </w:t>
      </w:r>
      <w:proofErr w:type="spellStart"/>
      <w:r>
        <w:t>geobodies</w:t>
      </w:r>
      <w:proofErr w:type="spellEnd"/>
      <w:r>
        <w:t xml:space="preserve"> (from a handful up to thousands) associated with a single winning neuron. </w:t>
      </w:r>
      <w:proofErr w:type="spellStart"/>
      <w:r>
        <w:t>Geoscanning</w:t>
      </w:r>
      <w:proofErr w:type="spellEnd"/>
      <w:r>
        <w:t xml:space="preserve"> takes real computational time but is cons</w:t>
      </w:r>
      <w:r>
        <w:t xml:space="preserve">idered well worth the investment, since it moves the analysis from raw winning-neuron classification results to individually interpretable </w:t>
      </w:r>
      <w:proofErr w:type="spellStart"/>
      <w:r>
        <w:t>geobodies</w:t>
      </w:r>
      <w:proofErr w:type="spellEnd"/>
      <w:r>
        <w:t>.</w:t>
      </w:r>
    </w:p>
    <w:p w14:paraId="0F0E01DE" w14:textId="77777777" w:rsidR="00963646" w:rsidRDefault="00D4755E">
      <w:pPr>
        <w:pStyle w:val="Heading3"/>
        <w:spacing w:before="240" w:after="100"/>
      </w:pPr>
      <w:r>
        <w:rPr>
          <w:rFonts w:ascii="Noto Sans Semibold" w:eastAsia="Noto Sans Semibold" w:hAnsi="Noto Sans Semibold" w:cs="Noto Sans Semibold"/>
          <w:b/>
          <w:bCs/>
          <w:color w:val="005563"/>
        </w:rPr>
        <w:t>Review of Survey Space, Attribute Space, and Topology Space</w:t>
      </w:r>
    </w:p>
    <w:p w14:paraId="276A4ED5" w14:textId="77777777" w:rsidR="00963646" w:rsidRDefault="00D4755E">
      <w:pPr>
        <w:spacing w:after="160"/>
      </w:pPr>
      <w:r>
        <w:t>Reiterating the earlier framework: survey space (a 2D line or full 3D survey) is transformed into attribute space using the attribute selection list, while neuron topology space defines the machine learning network being used. With f attributes, attribute space is f-dimensional, and each sample becomes an f-element vector. During cooperative training epochs, neurons exchange information through the honeycomb-like neuron topology to identify natural clusters, continuing epoch after epoch (a full pass through</w:t>
      </w:r>
      <w:r>
        <w:t xml:space="preserve"> all samples defines one epoch, commonly 50 to 200 or more epochs).</w:t>
      </w:r>
    </w:p>
    <w:p w14:paraId="345F0929" w14:textId="77777777" w:rsidR="00963646" w:rsidRDefault="00D4755E">
      <w:pPr>
        <w:spacing w:after="160"/>
      </w:pPr>
      <w:r>
        <w:t xml:space="preserve">Once training error stops improving meaningfully, training is considered complete (though never reaching exactly zero error), and every sample can then be classified by finding its nearest trained neuron. This produces two new attributes for every sample: the classification itself, and the classification probability. </w:t>
      </w:r>
      <w:proofErr w:type="spellStart"/>
      <w:r>
        <w:t>Geobody</w:t>
      </w:r>
      <w:proofErr w:type="spellEnd"/>
      <w:r>
        <w:t xml:space="preserve"> identification is then the process of taking this neuron classification and </w:t>
      </w:r>
      <w:proofErr w:type="spellStart"/>
      <w:r>
        <w:t>geoscanning</w:t>
      </w:r>
      <w:proofErr w:type="spellEnd"/>
      <w:r>
        <w:t xml:space="preserve"> through the data to identify all associated </w:t>
      </w:r>
      <w:proofErr w:type="spellStart"/>
      <w:r>
        <w:t>geobodies</w:t>
      </w:r>
      <w:proofErr w:type="spellEnd"/>
      <w:r>
        <w:t xml:space="preserve"> for each winning neuron; for example, 25 winning neurons (5x5) might ultimately correspond to tens of thousands of individual </w:t>
      </w:r>
      <w:proofErr w:type="spellStart"/>
      <w:r>
        <w:t>geobodies</w:t>
      </w:r>
      <w:proofErr w:type="spellEnd"/>
      <w:r>
        <w:t>.</w:t>
      </w:r>
    </w:p>
    <w:p w14:paraId="3CEF442F" w14:textId="77777777" w:rsidR="00963646" w:rsidRDefault="00D4755E">
      <w:pPr>
        <w:pStyle w:val="Heading2"/>
        <w:spacing w:before="320" w:after="140"/>
      </w:pPr>
      <w:r>
        <w:rPr>
          <w:rFonts w:ascii="Noto Sans Semibold" w:eastAsia="Noto Sans Semibold" w:hAnsi="Noto Sans Semibold" w:cs="Noto Sans Semibold"/>
          <w:b/>
          <w:bCs/>
          <w:color w:val="0080A8"/>
          <w:sz w:val="30"/>
          <w:szCs w:val="30"/>
        </w:rPr>
        <w:t>Niobrara Fault Fabric Example</w:t>
      </w:r>
    </w:p>
    <w:p w14:paraId="42179431" w14:textId="77777777" w:rsidR="00963646" w:rsidRDefault="00D4755E">
      <w:pPr>
        <w:spacing w:after="160"/>
      </w:pPr>
      <w:r>
        <w:t>Sarah's analysis of Niobrara curvature attributes (K1 curvature, similarity, energy ratio, texture entropy, texture homogeneity, and amplitude, all at 1-millisecond sampling, run as a 5x5 hexagonal SOM) identified fracture fabric directly from just two specific winning neurons. This revealed a dominant southwest-trending fracture direction, along with a secondary conjugate fracture direction, and distinguished regions of higher versus lower fracturing, all derived simply by highlighting patterns from the SO</w:t>
      </w:r>
      <w:r>
        <w:t xml:space="preserve">M classification, prior to running </w:t>
      </w:r>
      <w:proofErr w:type="spellStart"/>
      <w:r>
        <w:t>geoscanning</w:t>
      </w:r>
      <w:proofErr w:type="spellEnd"/>
      <w:r>
        <w:t>.</w:t>
      </w:r>
    </w:p>
    <w:p w14:paraId="1D9D02D4" w14:textId="77777777" w:rsidR="00963646" w:rsidRDefault="00D4755E">
      <w:pPr>
        <w:spacing w:after="160"/>
      </w:pPr>
      <w:r>
        <w:lastRenderedPageBreak/>
        <w:t xml:space="preserve">Returning to the original (non-curvature) instantaneous attribute set used for the Niobrara benches, and running </w:t>
      </w:r>
      <w:proofErr w:type="spellStart"/>
      <w:r>
        <w:t>geoscanning</w:t>
      </w:r>
      <w:proofErr w:type="spellEnd"/>
      <w:r>
        <w:t xml:space="preserve"> to color up individual </w:t>
      </w:r>
      <w:proofErr w:type="spellStart"/>
      <w:r>
        <w:t>geobodies</w:t>
      </w:r>
      <w:proofErr w:type="spellEnd"/>
      <w:r>
        <w:t xml:space="preserve"> (shown in blue), the A bench appeared fairly uniform in extent, the B bench was found to be thicker but with more varied lithology (multiple, more scattered associated </w:t>
      </w:r>
      <w:proofErr w:type="spellStart"/>
      <w:r>
        <w:t>geobodies</w:t>
      </w:r>
      <w:proofErr w:type="spellEnd"/>
      <w:r>
        <w:t xml:space="preserve">), and the C bench turned out to be represented by essentially one single, large, continuous </w:t>
      </w:r>
      <w:proofErr w:type="spellStart"/>
      <w:r>
        <w:t>geobody</w:t>
      </w:r>
      <w:proofErr w:type="spellEnd"/>
      <w:r>
        <w:t>, corresponding to one winning neuron, providing useful geologic inference about the bench's overall continuity and thickness pattern.</w:t>
      </w:r>
    </w:p>
    <w:p w14:paraId="2B824F7D" w14:textId="77777777" w:rsidR="00963646" w:rsidRDefault="00D4755E">
      <w:pPr>
        <w:pStyle w:val="Heading2"/>
        <w:spacing w:before="320" w:after="140"/>
      </w:pPr>
      <w:r>
        <w:rPr>
          <w:rFonts w:ascii="Noto Sans Semibold" w:eastAsia="Noto Sans Semibold" w:hAnsi="Noto Sans Semibold" w:cs="Noto Sans Semibold"/>
          <w:b/>
          <w:bCs/>
          <w:color w:val="0080A8"/>
          <w:sz w:val="30"/>
          <w:szCs w:val="30"/>
        </w:rPr>
        <w:t>Types of Sampling</w:t>
      </w:r>
    </w:p>
    <w:p w14:paraId="41304B65" w14:textId="77777777" w:rsidR="00963646" w:rsidRDefault="00D4755E">
      <w:pPr>
        <w:pStyle w:val="Heading3"/>
        <w:spacing w:before="240" w:after="100"/>
      </w:pPr>
      <w:r>
        <w:rPr>
          <w:rFonts w:ascii="Noto Sans Semibold" w:eastAsia="Noto Sans Semibold" w:hAnsi="Noto Sans Semibold" w:cs="Noto Sans Semibold"/>
          <w:b/>
          <w:bCs/>
          <w:color w:val="005563"/>
        </w:rPr>
        <w:t>Uniform (Time) Sampling</w:t>
      </w:r>
    </w:p>
    <w:p w14:paraId="74C94B7D" w14:textId="77777777" w:rsidR="00963646" w:rsidRDefault="00D4755E">
      <w:pPr>
        <w:spacing w:after="160"/>
      </w:pPr>
      <w:r>
        <w:t>Digitizing an analog trace at, for example, 500 samples per second implies a 2-millisecond sample interval and a corresponding Nyquist frequency of 1 divided by twice the sample interval, or 250 Hz in this case. All frequencies present in the original analog signal must be below this Nyquist frequency for accurate digital representation.</w:t>
      </w:r>
    </w:p>
    <w:p w14:paraId="6961E688" w14:textId="77777777" w:rsidR="00963646" w:rsidRDefault="00D4755E">
      <w:pPr>
        <w:pStyle w:val="Heading3"/>
        <w:spacing w:before="240" w:after="100"/>
      </w:pPr>
      <w:r>
        <w:rPr>
          <w:rFonts w:ascii="Noto Sans Semibold" w:eastAsia="Noto Sans Semibold" w:hAnsi="Noto Sans Semibold" w:cs="Noto Sans Semibold"/>
          <w:b/>
          <w:bCs/>
          <w:color w:val="005563"/>
        </w:rPr>
        <w:t>Spatial Sampling</w:t>
      </w:r>
    </w:p>
    <w:p w14:paraId="6BD5CD70" w14:textId="77777777" w:rsidR="00963646" w:rsidRDefault="00D4755E">
      <w:pPr>
        <w:spacing w:after="160"/>
      </w:pPr>
      <w:r>
        <w:t>A 3D survey similarly samples geology spatially, governed by bin dimensions (potentially different in the x and y directions), set by geophone and shot spacing and geometry. Spatial sampling has a directly analogous requirement: the maximum resolvable wave number must be less than one divided by twice the bin spacing, equivalent to a maximum resolvable feature of half a wavelength, mirroring the time-domain Nyquist relationship.</w:t>
      </w:r>
    </w:p>
    <w:p w14:paraId="04374052" w14:textId="77777777" w:rsidR="00963646" w:rsidRDefault="00D4755E">
      <w:pPr>
        <w:pStyle w:val="Heading3"/>
        <w:spacing w:before="240" w:after="100"/>
      </w:pPr>
      <w:r>
        <w:rPr>
          <w:rFonts w:ascii="Noto Sans Semibold" w:eastAsia="Noto Sans Semibold" w:hAnsi="Noto Sans Semibold" w:cs="Noto Sans Semibold"/>
          <w:b/>
          <w:bCs/>
          <w:color w:val="005563"/>
        </w:rPr>
        <w:t>Probability Sampling</w:t>
      </w:r>
    </w:p>
    <w:p w14:paraId="56AB3C5D" w14:textId="77777777" w:rsidR="00963646" w:rsidRDefault="00D4755E">
      <w:pPr>
        <w:spacing w:after="160"/>
      </w:pPr>
      <w:r>
        <w:t>Probability sampling is a technique in which every individual in a population has an equal chance of being selected for a sample. Because it is purely random, true probability sampling is free of systematic errors and sampling bias, an important and desirable property.</w:t>
      </w:r>
    </w:p>
    <w:p w14:paraId="0237ACEE" w14:textId="77777777" w:rsidR="00963646" w:rsidRDefault="00D4755E">
      <w:pPr>
        <w:pStyle w:val="Heading3"/>
        <w:spacing w:before="240" w:after="100"/>
      </w:pPr>
      <w:r>
        <w:rPr>
          <w:rFonts w:ascii="Noto Sans Semibold" w:eastAsia="Noto Sans Semibold" w:hAnsi="Noto Sans Semibold" w:cs="Noto Sans Semibold"/>
          <w:b/>
          <w:bCs/>
          <w:color w:val="005563"/>
        </w:rPr>
        <w:t>Sampling With vs. Without Replacement</w:t>
      </w:r>
    </w:p>
    <w:p w14:paraId="2CF1E494" w14:textId="77777777" w:rsidR="00963646" w:rsidRDefault="00D4755E">
      <w:pPr>
        <w:spacing w:after="160"/>
      </w:pPr>
      <w:r>
        <w:t xml:space="preserve">In sampling with replacement, each drawn sample remains available in the population for subsequent </w:t>
      </w:r>
      <w:proofErr w:type="gramStart"/>
      <w:r>
        <w:t>draws</w:t>
      </w:r>
      <w:proofErr w:type="gramEnd"/>
      <w:r>
        <w:t xml:space="preserve"> (as in bootstrapping, discussed in an earlier session). In sampling without replacement, each drawn sample is removed from the population once selected. For very large populations, the distinction rarely matters in practice; for very small populations (for example, removing three samples from a population of only twelve), the distinction becomes significant, since the remaining population shrinks meaningfully. Because populations of interest in this field are often small, "with replacement" statistica</w:t>
      </w:r>
      <w:r>
        <w:t>l methods are generally used.</w:t>
      </w:r>
    </w:p>
    <w:p w14:paraId="56DACB7F" w14:textId="77777777" w:rsidR="00963646" w:rsidRDefault="00D4755E">
      <w:pPr>
        <w:pStyle w:val="Heading2"/>
        <w:spacing w:before="320" w:after="140"/>
      </w:pPr>
      <w:r>
        <w:rPr>
          <w:rFonts w:ascii="Noto Sans Semibold" w:eastAsia="Noto Sans Semibold" w:hAnsi="Noto Sans Semibold" w:cs="Noto Sans Semibold"/>
          <w:b/>
          <w:bCs/>
          <w:color w:val="0080A8"/>
          <w:sz w:val="30"/>
          <w:szCs w:val="30"/>
        </w:rPr>
        <w:t>Exercise: Blind Random Drilling Over a 150-Square-Mile Area</w:t>
      </w:r>
    </w:p>
    <w:p w14:paraId="22BDADCA" w14:textId="77777777" w:rsidR="00963646" w:rsidRDefault="00D4755E">
      <w:pPr>
        <w:spacing w:after="160"/>
      </w:pPr>
      <w:r>
        <w:t>A hypothetical exercise illustrates probability sampling geographically: given a 150-square-mile area (15 miles by 10 miles) with no 3D survey available, and no informed geologic guidance, well locations are selected entirely at random, with only successful wells marked (a simple binary outcome: success or failure, with no intermediate category).</w:t>
      </w:r>
    </w:p>
    <w:p w14:paraId="61C0F260" w14:textId="77777777" w:rsidR="00963646" w:rsidRDefault="00D4755E">
      <w:pPr>
        <w:spacing w:after="160"/>
      </w:pPr>
      <w:r>
        <w:t>As the number of randomly drilled wells increased, the picture of underlying structure progressively sharpened:</w:t>
      </w:r>
    </w:p>
    <w:tbl>
      <w:tblPr>
        <w:tblW w:w="8455" w:type="dxa"/>
        <w:tblBorders>
          <w:top w:val="single" w:sz="4" w:space="0" w:color="CCCCCC"/>
          <w:left w:val="single" w:sz="4" w:space="0" w:color="CCCCCC"/>
          <w:bottom w:val="single" w:sz="4" w:space="0" w:color="CCCCCC"/>
          <w:right w:val="single" w:sz="4" w:space="0" w:color="CCCCCC"/>
          <w:insideH w:val="single" w:sz="2" w:space="0" w:color="DDDDDD"/>
          <w:insideV w:val="single" w:sz="2" w:space="0" w:color="DDDDDD"/>
        </w:tblBorders>
        <w:tblCellMar>
          <w:left w:w="10" w:type="dxa"/>
          <w:right w:w="10" w:type="dxa"/>
        </w:tblCellMar>
        <w:tblLook w:val="0000" w:firstRow="0" w:lastRow="0" w:firstColumn="0" w:lastColumn="0" w:noHBand="0" w:noVBand="0"/>
      </w:tblPr>
      <w:tblGrid>
        <w:gridCol w:w="1755"/>
        <w:gridCol w:w="2100"/>
        <w:gridCol w:w="4600"/>
      </w:tblGrid>
      <w:tr w:rsidR="00963646" w14:paraId="095C4574" w14:textId="77777777">
        <w:tblPrEx>
          <w:tblCellMar>
            <w:top w:w="0" w:type="dxa"/>
            <w:bottom w:w="0" w:type="dxa"/>
          </w:tblCellMar>
        </w:tblPrEx>
        <w:trPr>
          <w:tblHeader/>
        </w:trPr>
        <w:tc>
          <w:tcPr>
            <w:tcW w:w="1755" w:type="dxa"/>
            <w:shd w:val="clear" w:color="auto" w:fill="005563"/>
            <w:tcMar>
              <w:top w:w="80" w:type="dxa"/>
              <w:left w:w="100" w:type="dxa"/>
              <w:bottom w:w="80" w:type="dxa"/>
              <w:right w:w="100" w:type="dxa"/>
            </w:tcMar>
          </w:tcPr>
          <w:p w14:paraId="421F3E77" w14:textId="77777777" w:rsidR="00963646" w:rsidRDefault="00D4755E">
            <w:r>
              <w:rPr>
                <w:b/>
                <w:bCs/>
                <w:color w:val="FFFFFF"/>
                <w:sz w:val="20"/>
                <w:szCs w:val="20"/>
              </w:rPr>
              <w:lastRenderedPageBreak/>
              <w:t>Wells Drilled</w:t>
            </w:r>
          </w:p>
        </w:tc>
        <w:tc>
          <w:tcPr>
            <w:tcW w:w="2100" w:type="dxa"/>
            <w:shd w:val="clear" w:color="auto" w:fill="005563"/>
            <w:tcMar>
              <w:top w:w="80" w:type="dxa"/>
              <w:left w:w="100" w:type="dxa"/>
              <w:bottom w:w="80" w:type="dxa"/>
              <w:right w:w="100" w:type="dxa"/>
            </w:tcMar>
          </w:tcPr>
          <w:p w14:paraId="43AC4328" w14:textId="77777777" w:rsidR="00963646" w:rsidRDefault="00D4755E">
            <w:r>
              <w:rPr>
                <w:b/>
                <w:bCs/>
                <w:color w:val="FFFFFF"/>
                <w:sz w:val="20"/>
                <w:szCs w:val="20"/>
              </w:rPr>
              <w:t>Successful Wells</w:t>
            </w:r>
          </w:p>
        </w:tc>
        <w:tc>
          <w:tcPr>
            <w:tcW w:w="4600" w:type="dxa"/>
            <w:shd w:val="clear" w:color="auto" w:fill="005563"/>
            <w:tcMar>
              <w:top w:w="80" w:type="dxa"/>
              <w:left w:w="100" w:type="dxa"/>
              <w:bottom w:w="80" w:type="dxa"/>
              <w:right w:w="100" w:type="dxa"/>
            </w:tcMar>
          </w:tcPr>
          <w:p w14:paraId="42992CE6" w14:textId="77777777" w:rsidR="00963646" w:rsidRDefault="00D4755E">
            <w:r>
              <w:rPr>
                <w:b/>
                <w:bCs/>
                <w:color w:val="FFFFFF"/>
                <w:sz w:val="20"/>
                <w:szCs w:val="20"/>
              </w:rPr>
              <w:t>What Becomes Visible</w:t>
            </w:r>
          </w:p>
        </w:tc>
      </w:tr>
      <w:tr w:rsidR="00963646" w14:paraId="0059F40C" w14:textId="77777777">
        <w:tblPrEx>
          <w:tblCellMar>
            <w:top w:w="0" w:type="dxa"/>
            <w:bottom w:w="0" w:type="dxa"/>
          </w:tblCellMar>
        </w:tblPrEx>
        <w:tc>
          <w:tcPr>
            <w:tcW w:w="1755" w:type="dxa"/>
            <w:shd w:val="clear" w:color="auto" w:fill="FFFFFF"/>
            <w:tcMar>
              <w:top w:w="80" w:type="dxa"/>
              <w:left w:w="100" w:type="dxa"/>
              <w:bottom w:w="80" w:type="dxa"/>
              <w:right w:w="100" w:type="dxa"/>
            </w:tcMar>
          </w:tcPr>
          <w:p w14:paraId="33E13B13" w14:textId="77777777" w:rsidR="00963646" w:rsidRDefault="00D4755E">
            <w:r>
              <w:t>250</w:t>
            </w:r>
          </w:p>
        </w:tc>
        <w:tc>
          <w:tcPr>
            <w:tcW w:w="2100" w:type="dxa"/>
            <w:shd w:val="clear" w:color="auto" w:fill="FFFFFF"/>
            <w:tcMar>
              <w:top w:w="80" w:type="dxa"/>
              <w:left w:w="100" w:type="dxa"/>
              <w:bottom w:w="80" w:type="dxa"/>
              <w:right w:w="100" w:type="dxa"/>
            </w:tcMar>
          </w:tcPr>
          <w:p w14:paraId="62A409C3" w14:textId="77777777" w:rsidR="00963646" w:rsidRDefault="00D4755E">
            <w:r>
              <w:t>26</w:t>
            </w:r>
          </w:p>
        </w:tc>
        <w:tc>
          <w:tcPr>
            <w:tcW w:w="4600" w:type="dxa"/>
            <w:shd w:val="clear" w:color="auto" w:fill="FFFFFF"/>
            <w:tcMar>
              <w:top w:w="80" w:type="dxa"/>
              <w:left w:w="100" w:type="dxa"/>
              <w:bottom w:w="80" w:type="dxa"/>
              <w:right w:w="100" w:type="dxa"/>
            </w:tcMar>
          </w:tcPr>
          <w:p w14:paraId="4A177114" w14:textId="77777777" w:rsidR="00963646" w:rsidRDefault="00D4755E">
            <w:r>
              <w:t>Not yet clear whether a real trend exists</w:t>
            </w:r>
          </w:p>
        </w:tc>
      </w:tr>
      <w:tr w:rsidR="00963646" w14:paraId="4131B198" w14:textId="77777777">
        <w:tblPrEx>
          <w:tblCellMar>
            <w:top w:w="0" w:type="dxa"/>
            <w:bottom w:w="0" w:type="dxa"/>
          </w:tblCellMar>
        </w:tblPrEx>
        <w:tc>
          <w:tcPr>
            <w:tcW w:w="1755" w:type="dxa"/>
            <w:shd w:val="clear" w:color="auto" w:fill="FFFFFF"/>
            <w:tcMar>
              <w:top w:w="80" w:type="dxa"/>
              <w:left w:w="100" w:type="dxa"/>
              <w:bottom w:w="80" w:type="dxa"/>
              <w:right w:w="100" w:type="dxa"/>
            </w:tcMar>
          </w:tcPr>
          <w:p w14:paraId="15F4136E" w14:textId="77777777" w:rsidR="00963646" w:rsidRDefault="00D4755E">
            <w:r>
              <w:t>1,000</w:t>
            </w:r>
          </w:p>
        </w:tc>
        <w:tc>
          <w:tcPr>
            <w:tcW w:w="2100" w:type="dxa"/>
            <w:shd w:val="clear" w:color="auto" w:fill="FFFFFF"/>
            <w:tcMar>
              <w:top w:w="80" w:type="dxa"/>
              <w:left w:w="100" w:type="dxa"/>
              <w:bottom w:w="80" w:type="dxa"/>
              <w:right w:w="100" w:type="dxa"/>
            </w:tcMar>
          </w:tcPr>
          <w:p w14:paraId="4F9A16BD" w14:textId="77777777" w:rsidR="00963646" w:rsidRDefault="00D4755E">
            <w:r>
              <w:t>86</w:t>
            </w:r>
          </w:p>
        </w:tc>
        <w:tc>
          <w:tcPr>
            <w:tcW w:w="4600" w:type="dxa"/>
            <w:shd w:val="clear" w:color="auto" w:fill="FFFFFF"/>
            <w:tcMar>
              <w:top w:w="80" w:type="dxa"/>
              <w:left w:w="100" w:type="dxa"/>
              <w:bottom w:w="80" w:type="dxa"/>
              <w:right w:w="100" w:type="dxa"/>
            </w:tcMar>
          </w:tcPr>
          <w:p w14:paraId="65672635" w14:textId="77777777" w:rsidR="00963646" w:rsidRDefault="00D4755E">
            <w:r>
              <w:t>A trend becomes visible; unclear whether it represents one area or two</w:t>
            </w:r>
          </w:p>
        </w:tc>
      </w:tr>
      <w:tr w:rsidR="00963646" w14:paraId="34DE0CF4" w14:textId="77777777">
        <w:tblPrEx>
          <w:tblCellMar>
            <w:top w:w="0" w:type="dxa"/>
            <w:bottom w:w="0" w:type="dxa"/>
          </w:tblCellMar>
        </w:tblPrEx>
        <w:tc>
          <w:tcPr>
            <w:tcW w:w="1755" w:type="dxa"/>
            <w:shd w:val="clear" w:color="auto" w:fill="FFFFFF"/>
            <w:tcMar>
              <w:top w:w="80" w:type="dxa"/>
              <w:left w:w="100" w:type="dxa"/>
              <w:bottom w:w="80" w:type="dxa"/>
              <w:right w:w="100" w:type="dxa"/>
            </w:tcMar>
          </w:tcPr>
          <w:p w14:paraId="2A76F51A" w14:textId="77777777" w:rsidR="00963646" w:rsidRDefault="00D4755E">
            <w:r>
              <w:t>5,000</w:t>
            </w:r>
          </w:p>
        </w:tc>
        <w:tc>
          <w:tcPr>
            <w:tcW w:w="2100" w:type="dxa"/>
            <w:shd w:val="clear" w:color="auto" w:fill="FFFFFF"/>
            <w:tcMar>
              <w:top w:w="80" w:type="dxa"/>
              <w:left w:w="100" w:type="dxa"/>
              <w:bottom w:w="80" w:type="dxa"/>
              <w:right w:w="100" w:type="dxa"/>
            </w:tcMar>
          </w:tcPr>
          <w:p w14:paraId="30A5BAF7" w14:textId="77777777" w:rsidR="00963646" w:rsidRDefault="00D4755E">
            <w:r>
              <w:t>471</w:t>
            </w:r>
          </w:p>
        </w:tc>
        <w:tc>
          <w:tcPr>
            <w:tcW w:w="4600" w:type="dxa"/>
            <w:shd w:val="clear" w:color="auto" w:fill="FFFFFF"/>
            <w:tcMar>
              <w:top w:w="80" w:type="dxa"/>
              <w:left w:w="100" w:type="dxa"/>
              <w:bottom w:w="80" w:type="dxa"/>
              <w:right w:w="100" w:type="dxa"/>
            </w:tcMar>
          </w:tcPr>
          <w:p w14:paraId="61026B5F" w14:textId="77777777" w:rsidR="00963646" w:rsidRDefault="00D4755E">
            <w:r>
              <w:t>Two distinct trend areas become visible; questions arise about the shape of "dead zones"</w:t>
            </w:r>
          </w:p>
        </w:tc>
      </w:tr>
      <w:tr w:rsidR="00963646" w14:paraId="0769D469" w14:textId="77777777">
        <w:tblPrEx>
          <w:tblCellMar>
            <w:top w:w="0" w:type="dxa"/>
            <w:bottom w:w="0" w:type="dxa"/>
          </w:tblCellMar>
        </w:tblPrEx>
        <w:tc>
          <w:tcPr>
            <w:tcW w:w="1755" w:type="dxa"/>
            <w:shd w:val="clear" w:color="auto" w:fill="FFFFFF"/>
            <w:tcMar>
              <w:top w:w="80" w:type="dxa"/>
              <w:left w:w="100" w:type="dxa"/>
              <w:bottom w:w="80" w:type="dxa"/>
              <w:right w:w="100" w:type="dxa"/>
            </w:tcMar>
          </w:tcPr>
          <w:p w14:paraId="45A3C6A1" w14:textId="77777777" w:rsidR="00963646" w:rsidRDefault="00D4755E">
            <w:r>
              <w:t>10,000</w:t>
            </w:r>
          </w:p>
        </w:tc>
        <w:tc>
          <w:tcPr>
            <w:tcW w:w="2100" w:type="dxa"/>
            <w:shd w:val="clear" w:color="auto" w:fill="FFFFFF"/>
            <w:tcMar>
              <w:top w:w="80" w:type="dxa"/>
              <w:left w:w="100" w:type="dxa"/>
              <w:bottom w:w="80" w:type="dxa"/>
              <w:right w:w="100" w:type="dxa"/>
            </w:tcMar>
          </w:tcPr>
          <w:p w14:paraId="3707EE19" w14:textId="77777777" w:rsidR="00963646" w:rsidRDefault="00D4755E">
            <w:r>
              <w:t>951</w:t>
            </w:r>
          </w:p>
        </w:tc>
        <w:tc>
          <w:tcPr>
            <w:tcW w:w="4600" w:type="dxa"/>
            <w:shd w:val="clear" w:color="auto" w:fill="FFFFFF"/>
            <w:tcMar>
              <w:top w:w="80" w:type="dxa"/>
              <w:left w:w="100" w:type="dxa"/>
              <w:bottom w:w="80" w:type="dxa"/>
              <w:right w:w="100" w:type="dxa"/>
            </w:tcMar>
          </w:tcPr>
          <w:p w14:paraId="4646063B" w14:textId="77777777" w:rsidR="00963646" w:rsidRDefault="00D4755E">
            <w:r>
              <w:t>Trends take on recognizable overall shapes (for example, an "O" shape and a "U" shape)</w:t>
            </w:r>
          </w:p>
        </w:tc>
      </w:tr>
      <w:tr w:rsidR="00963646" w14:paraId="213EDB59" w14:textId="77777777">
        <w:tblPrEx>
          <w:tblCellMar>
            <w:top w:w="0" w:type="dxa"/>
            <w:bottom w:w="0" w:type="dxa"/>
          </w:tblCellMar>
        </w:tblPrEx>
        <w:tc>
          <w:tcPr>
            <w:tcW w:w="1755" w:type="dxa"/>
            <w:shd w:val="clear" w:color="auto" w:fill="FFFFFF"/>
            <w:tcMar>
              <w:top w:w="80" w:type="dxa"/>
              <w:left w:w="100" w:type="dxa"/>
              <w:bottom w:w="80" w:type="dxa"/>
              <w:right w:w="100" w:type="dxa"/>
            </w:tcMar>
          </w:tcPr>
          <w:p w14:paraId="020684DC" w14:textId="77777777" w:rsidR="00963646" w:rsidRDefault="00D4755E">
            <w:r>
              <w:t>50,000</w:t>
            </w:r>
          </w:p>
        </w:tc>
        <w:tc>
          <w:tcPr>
            <w:tcW w:w="2100" w:type="dxa"/>
            <w:shd w:val="clear" w:color="auto" w:fill="FFFFFF"/>
            <w:tcMar>
              <w:top w:w="80" w:type="dxa"/>
              <w:left w:w="100" w:type="dxa"/>
              <w:bottom w:w="80" w:type="dxa"/>
              <w:right w:w="100" w:type="dxa"/>
            </w:tcMar>
          </w:tcPr>
          <w:p w14:paraId="4F238EB0" w14:textId="77777777" w:rsidR="00963646" w:rsidRDefault="00D4755E">
            <w:r>
              <w:t>4,639</w:t>
            </w:r>
          </w:p>
        </w:tc>
        <w:tc>
          <w:tcPr>
            <w:tcW w:w="4600" w:type="dxa"/>
            <w:shd w:val="clear" w:color="auto" w:fill="FFFFFF"/>
            <w:tcMar>
              <w:top w:w="80" w:type="dxa"/>
              <w:left w:w="100" w:type="dxa"/>
              <w:bottom w:w="80" w:type="dxa"/>
              <w:right w:w="100" w:type="dxa"/>
            </w:tcMar>
          </w:tcPr>
          <w:p w14:paraId="2225DA92" w14:textId="77777777" w:rsidR="00963646" w:rsidRDefault="00D4755E">
            <w:r>
              <w:t>Fine structural detail becomes resolvable, including the specific shape of dead zones (for example, a square shape) and outer boundaries (for example, a hexagon)</w:t>
            </w:r>
          </w:p>
        </w:tc>
      </w:tr>
    </w:tbl>
    <w:p w14:paraId="0371A3AD" w14:textId="77777777" w:rsidR="00963646" w:rsidRDefault="00963646">
      <w:pPr>
        <w:spacing w:after="200"/>
      </w:pPr>
    </w:p>
    <w:p w14:paraId="39A0DC1F" w14:textId="77777777" w:rsidR="00963646" w:rsidRDefault="00D4755E">
      <w:pPr>
        <w:spacing w:after="160"/>
      </w:pPr>
      <w:r>
        <w:t>Whether any resulting shapes correspond to a specific real geologic explanation is left as an open question, dependent on the underlying (in this illustrative example, entirely synthetic) truth of the area. This exercise is a demonstration of blind drilling as a form of geographic probability sampling: as the number of random samples increases, the questions that can meaningfully be asked about the underlying data become progressively more refined and detailed.</w:t>
      </w:r>
    </w:p>
    <w:p w14:paraId="6B29548C" w14:textId="77777777" w:rsidR="00963646" w:rsidRDefault="00D4755E">
      <w:pPr>
        <w:pStyle w:val="Heading2"/>
        <w:spacing w:before="320" w:after="140"/>
      </w:pPr>
      <w:r>
        <w:rPr>
          <w:rFonts w:ascii="Noto Sans Semibold" w:eastAsia="Noto Sans Semibold" w:hAnsi="Noto Sans Semibold" w:cs="Noto Sans Semibold"/>
          <w:b/>
          <w:bCs/>
          <w:color w:val="0080A8"/>
          <w:sz w:val="30"/>
          <w:szCs w:val="30"/>
        </w:rPr>
        <w:t>Summary</w:t>
      </w:r>
    </w:p>
    <w:p w14:paraId="2B9D5D0C" w14:textId="77777777" w:rsidR="00963646" w:rsidRDefault="00D4755E">
      <w:pPr>
        <w:spacing w:after="160"/>
      </w:pPr>
      <w:r>
        <w:t xml:space="preserve">This session covered how data moves through survey space, attribute space, and neuron topology space during training, classification, and </w:t>
      </w:r>
      <w:proofErr w:type="spellStart"/>
      <w:r>
        <w:t>geobody</w:t>
      </w:r>
      <w:proofErr w:type="spellEnd"/>
      <w:r>
        <w:t xml:space="preserve"> identification. It then covered sampling concepts, focusing on probability sampling through the blind drilling exercise. A key observation from that exercise is that as more samples are obtained, the questions that can be meaningfully asked about the underlying data become increasingly refined and specific.</w:t>
      </w:r>
    </w:p>
    <w:sectPr w:rsidR="00963646">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89A4" w14:textId="77777777" w:rsidR="00D4755E" w:rsidRDefault="00D4755E">
      <w:r>
        <w:separator/>
      </w:r>
    </w:p>
  </w:endnote>
  <w:endnote w:type="continuationSeparator" w:id="0">
    <w:p w14:paraId="0FEE82F0" w14:textId="77777777" w:rsidR="00D4755E" w:rsidRDefault="00D4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8ED0" w14:textId="77777777" w:rsidR="00963646" w:rsidRDefault="00D4755E">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D009DF">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4543" w14:textId="77777777" w:rsidR="00D4755E" w:rsidRDefault="00D4755E">
      <w:r>
        <w:separator/>
      </w:r>
    </w:p>
  </w:footnote>
  <w:footnote w:type="continuationSeparator" w:id="0">
    <w:p w14:paraId="5858F3B1" w14:textId="77777777" w:rsidR="00D4755E" w:rsidRDefault="00D47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213F" w14:textId="77777777" w:rsidR="00963646" w:rsidRDefault="00D4755E">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631CD"/>
    <w:multiLevelType w:val="hybridMultilevel"/>
    <w:tmpl w:val="99026406"/>
    <w:lvl w:ilvl="0" w:tplc="C9D8DA10">
      <w:start w:val="1"/>
      <w:numFmt w:val="bullet"/>
      <w:lvlText w:val="●"/>
      <w:lvlJc w:val="left"/>
      <w:pPr>
        <w:ind w:left="720" w:hanging="360"/>
      </w:pPr>
    </w:lvl>
    <w:lvl w:ilvl="1" w:tplc="359C1634">
      <w:start w:val="1"/>
      <w:numFmt w:val="bullet"/>
      <w:lvlText w:val="○"/>
      <w:lvlJc w:val="left"/>
      <w:pPr>
        <w:ind w:left="1440" w:hanging="360"/>
      </w:pPr>
    </w:lvl>
    <w:lvl w:ilvl="2" w:tplc="3E1E88CE">
      <w:start w:val="1"/>
      <w:numFmt w:val="bullet"/>
      <w:lvlText w:val="■"/>
      <w:lvlJc w:val="left"/>
      <w:pPr>
        <w:ind w:left="2160" w:hanging="360"/>
      </w:pPr>
    </w:lvl>
    <w:lvl w:ilvl="3" w:tplc="B2480844">
      <w:start w:val="1"/>
      <w:numFmt w:val="bullet"/>
      <w:lvlText w:val="●"/>
      <w:lvlJc w:val="left"/>
      <w:pPr>
        <w:ind w:left="2880" w:hanging="360"/>
      </w:pPr>
    </w:lvl>
    <w:lvl w:ilvl="4" w:tplc="9D983B28">
      <w:start w:val="1"/>
      <w:numFmt w:val="bullet"/>
      <w:lvlText w:val="○"/>
      <w:lvlJc w:val="left"/>
      <w:pPr>
        <w:ind w:left="3600" w:hanging="360"/>
      </w:pPr>
    </w:lvl>
    <w:lvl w:ilvl="5" w:tplc="FAD09332">
      <w:start w:val="1"/>
      <w:numFmt w:val="bullet"/>
      <w:lvlText w:val="■"/>
      <w:lvlJc w:val="left"/>
      <w:pPr>
        <w:ind w:left="4320" w:hanging="360"/>
      </w:pPr>
    </w:lvl>
    <w:lvl w:ilvl="6" w:tplc="77DCCD78">
      <w:start w:val="1"/>
      <w:numFmt w:val="bullet"/>
      <w:lvlText w:val="●"/>
      <w:lvlJc w:val="left"/>
      <w:pPr>
        <w:ind w:left="5040" w:hanging="360"/>
      </w:pPr>
    </w:lvl>
    <w:lvl w:ilvl="7" w:tplc="25F48B9C">
      <w:start w:val="1"/>
      <w:numFmt w:val="bullet"/>
      <w:lvlText w:val="●"/>
      <w:lvlJc w:val="left"/>
      <w:pPr>
        <w:ind w:left="5760" w:hanging="360"/>
      </w:pPr>
    </w:lvl>
    <w:lvl w:ilvl="8" w:tplc="71AEAB82">
      <w:start w:val="1"/>
      <w:numFmt w:val="bullet"/>
      <w:lvlText w:val="●"/>
      <w:lvlJc w:val="left"/>
      <w:pPr>
        <w:ind w:left="6480" w:hanging="360"/>
      </w:pPr>
    </w:lvl>
  </w:abstractNum>
  <w:abstractNum w:abstractNumId="1" w15:restartNumberingAfterBreak="0">
    <w:nsid w:val="6A1F7222"/>
    <w:multiLevelType w:val="hybridMultilevel"/>
    <w:tmpl w:val="9228A91E"/>
    <w:lvl w:ilvl="0" w:tplc="82A44C00">
      <w:start w:val="1"/>
      <w:numFmt w:val="decimal"/>
      <w:lvlText w:val="%1."/>
      <w:lvlJc w:val="left"/>
      <w:pPr>
        <w:ind w:left="460" w:hanging="260"/>
      </w:pPr>
    </w:lvl>
    <w:lvl w:ilvl="1" w:tplc="0268BE76">
      <w:numFmt w:val="decimal"/>
      <w:lvlText w:val=""/>
      <w:lvlJc w:val="left"/>
    </w:lvl>
    <w:lvl w:ilvl="2" w:tplc="2EF02A4E">
      <w:numFmt w:val="decimal"/>
      <w:lvlText w:val=""/>
      <w:lvlJc w:val="left"/>
    </w:lvl>
    <w:lvl w:ilvl="3" w:tplc="7722BCDC">
      <w:numFmt w:val="decimal"/>
      <w:lvlText w:val=""/>
      <w:lvlJc w:val="left"/>
    </w:lvl>
    <w:lvl w:ilvl="4" w:tplc="B3FC57B4">
      <w:numFmt w:val="decimal"/>
      <w:lvlText w:val=""/>
      <w:lvlJc w:val="left"/>
    </w:lvl>
    <w:lvl w:ilvl="5" w:tplc="F07A2A82">
      <w:numFmt w:val="decimal"/>
      <w:lvlText w:val=""/>
      <w:lvlJc w:val="left"/>
    </w:lvl>
    <w:lvl w:ilvl="6" w:tplc="2F565E8A">
      <w:numFmt w:val="decimal"/>
      <w:lvlText w:val=""/>
      <w:lvlJc w:val="left"/>
    </w:lvl>
    <w:lvl w:ilvl="7" w:tplc="394EF458">
      <w:numFmt w:val="decimal"/>
      <w:lvlText w:val=""/>
      <w:lvlJc w:val="left"/>
    </w:lvl>
    <w:lvl w:ilvl="8" w:tplc="8FA2A252">
      <w:numFmt w:val="decimal"/>
      <w:lvlText w:val=""/>
      <w:lvlJc w:val="left"/>
    </w:lvl>
  </w:abstractNum>
  <w:num w:numId="1" w16cid:durableId="11677934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646"/>
    <w:rsid w:val="000B1CE4"/>
    <w:rsid w:val="00963646"/>
    <w:rsid w:val="00D009DF"/>
    <w:rsid w:val="00D4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13FC"/>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C23F2-7595-4D26-B376-B1D270733AF2}"/>
</file>

<file path=customXml/itemProps2.xml><?xml version="1.0" encoding="utf-8"?>
<ds:datastoreItem xmlns:ds="http://schemas.openxmlformats.org/officeDocument/2006/customXml" ds:itemID="{ADA57A72-3150-4A6C-BDA1-A62B965B0429}"/>
</file>

<file path=customXml/itemProps3.xml><?xml version="1.0" encoding="utf-8"?>
<ds:datastoreItem xmlns:ds="http://schemas.openxmlformats.org/officeDocument/2006/customXml" ds:itemID="{F3BA6678-1EF5-45D0-B1AA-1EA06B0EDA77}"/>
</file>

<file path=docProps/app.xml><?xml version="1.0" encoding="utf-8"?>
<Properties xmlns="http://schemas.openxmlformats.org/officeDocument/2006/extended-properties" xmlns:vt="http://schemas.openxmlformats.org/officeDocument/2006/docPropsVTypes">
  <Template>Normal.dotm</Template>
  <TotalTime>1</TotalTime>
  <Pages>4</Pages>
  <Words>1156</Words>
  <Characters>6590</Characters>
  <Application>Microsoft Office Word</Application>
  <DocSecurity>0</DocSecurity>
  <Lines>54</Lines>
  <Paragraphs>15</Paragraphs>
  <ScaleCrop>false</ScaleCrop>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2026-08-06T13:18:00Z</dcterms:created>
  <dcterms:modified xsi:type="dcterms:W3CDTF">2026-08-06T13:18:00Z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