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F9634" w14:textId="77777777" w:rsidR="003175AC" w:rsidRDefault="004A6EF8">
      <w:pPr>
        <w:spacing w:before="400" w:after="500"/>
      </w:pPr>
      <w:r>
        <w:rPr>
          <w:noProof/>
        </w:rPr>
        <w:drawing>
          <wp:inline distT="0" distB="0" distL="0" distR="0" wp14:anchorId="4D352CEF" wp14:editId="0C09A0E6">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69121936" w14:textId="77777777" w:rsidR="003175AC" w:rsidRDefault="004A6EF8">
      <w:pPr>
        <w:spacing w:before="800" w:after="120"/>
      </w:pPr>
      <w:r>
        <w:rPr>
          <w:rFonts w:ascii="Noto Sans Semibold" w:eastAsia="Noto Sans Semibold" w:hAnsi="Noto Sans Semibold" w:cs="Noto Sans Semibold"/>
          <w:b/>
          <w:bCs/>
          <w:color w:val="005563"/>
          <w:sz w:val="56"/>
          <w:szCs w:val="56"/>
        </w:rPr>
        <w:t>Niobrara Case Study</w:t>
      </w:r>
    </w:p>
    <w:p w14:paraId="765E2207" w14:textId="77777777" w:rsidR="003175AC" w:rsidRDefault="003175AC">
      <w:pPr>
        <w:pBdr>
          <w:bottom w:val="single" w:sz="18" w:space="8" w:color="F7941D"/>
        </w:pBdr>
        <w:spacing w:after="300"/>
      </w:pPr>
    </w:p>
    <w:p w14:paraId="144C5896" w14:textId="77777777" w:rsidR="003175AC" w:rsidRDefault="004A6EF8">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4FEF37A6" w14:textId="77777777" w:rsidR="003175AC" w:rsidRDefault="004A6EF8">
      <w:r>
        <w:br w:type="page"/>
      </w:r>
    </w:p>
    <w:p w14:paraId="2736CE3F" w14:textId="77777777" w:rsidR="003175AC" w:rsidRDefault="004A6EF8">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7C9312C9" w14:textId="77777777" w:rsidR="003175AC" w:rsidRDefault="004A6EF8">
      <w:pPr>
        <w:spacing w:after="160"/>
      </w:pPr>
      <w:r>
        <w:t>This session first discusses new interpretation tools within a geoscientist's workbench, then shows how these tools were applied in an evaluation of the Niobrara play.</w:t>
      </w:r>
    </w:p>
    <w:p w14:paraId="3144A94C" w14:textId="77777777" w:rsidR="003175AC" w:rsidRDefault="004A6EF8">
      <w:pPr>
        <w:pStyle w:val="Heading2"/>
        <w:spacing w:before="320" w:after="140"/>
      </w:pPr>
      <w:r>
        <w:rPr>
          <w:rFonts w:ascii="Noto Sans Semibold" w:eastAsia="Noto Sans Semibold" w:hAnsi="Noto Sans Semibold" w:cs="Noto Sans Semibold"/>
          <w:b/>
          <w:bCs/>
          <w:color w:val="0080A8"/>
          <w:sz w:val="30"/>
          <w:szCs w:val="30"/>
        </w:rPr>
        <w:t>Building a Statistical Model Is Only the Beginning</w:t>
      </w:r>
    </w:p>
    <w:p w14:paraId="321FA140" w14:textId="77777777" w:rsidR="003175AC" w:rsidRDefault="004A6EF8">
      <w:pPr>
        <w:spacing w:after="160"/>
      </w:pPr>
      <w:r>
        <w:t>Selecting samples for CNN or SOM classification and running the classification is, fundamentally, building a statistical model, not completing the interpretation. Even after enough epochs have been run and learning has effectively completed, the work is not done; one statistical model typically leads to the next, potentially mixing unsupervised and supervised neural network steps, with the output of one run becoming the input to the next. This makes clear, consistent labeling of results essential, and under</w:t>
      </w:r>
      <w:r>
        <w:t>scores the value of a flexible, general-purpose set of interpretation tools.</w:t>
      </w:r>
    </w:p>
    <w:p w14:paraId="0279E986" w14:textId="77777777" w:rsidR="003175AC" w:rsidRDefault="004A6EF8">
      <w:pPr>
        <w:pStyle w:val="Heading2"/>
        <w:spacing w:before="320" w:after="140"/>
      </w:pPr>
      <w:r>
        <w:rPr>
          <w:rFonts w:ascii="Noto Sans Semibold" w:eastAsia="Noto Sans Semibold" w:hAnsi="Noto Sans Semibold" w:cs="Noto Sans Semibold"/>
          <w:b/>
          <w:bCs/>
          <w:color w:val="0080A8"/>
          <w:sz w:val="30"/>
          <w:szCs w:val="30"/>
        </w:rPr>
        <w:t>The Evolving Interpretation Workbench</w:t>
      </w:r>
    </w:p>
    <w:p w14:paraId="1A0061EB" w14:textId="77777777" w:rsidR="003175AC" w:rsidRDefault="004A6EF8">
      <w:pPr>
        <w:spacing w:after="160"/>
      </w:pPr>
      <w:r>
        <w:t>Modern interpretation increasingly resembles a production-prediction business, supported by an evolving toolkit that includes:</w:t>
      </w:r>
    </w:p>
    <w:p w14:paraId="1BB93C9B" w14:textId="77777777" w:rsidR="003175AC" w:rsidRDefault="004A6EF8">
      <w:pPr>
        <w:pStyle w:val="ListParagraph"/>
        <w:numPr>
          <w:ilvl w:val="0"/>
          <w:numId w:val="1"/>
        </w:numPr>
        <w:spacing w:after="80"/>
      </w:pPr>
      <w:r>
        <w:rPr>
          <w:b/>
          <w:bCs/>
          <w:color w:val="005563"/>
        </w:rPr>
        <w:t>Classifiers</w:t>
      </w:r>
      <w:r>
        <w:t xml:space="preserve"> (SOM, k-means, CNN, and similar), the primary focus of this course.</w:t>
      </w:r>
    </w:p>
    <w:p w14:paraId="2C56D4AF" w14:textId="77777777" w:rsidR="003175AC" w:rsidRDefault="004A6EF8">
      <w:pPr>
        <w:pStyle w:val="ListParagraph"/>
        <w:numPr>
          <w:ilvl w:val="0"/>
          <w:numId w:val="1"/>
        </w:numPr>
        <w:spacing w:after="80"/>
      </w:pPr>
      <w:r>
        <w:rPr>
          <w:b/>
          <w:bCs/>
          <w:color w:val="005563"/>
        </w:rPr>
        <w:t>Smoothers and edgers</w:t>
      </w:r>
      <w:r>
        <w:t xml:space="preserve"> for preconditioning data (for example, correcting a survey's wavelet phase, such as rotating a survey found to have a 28-degree phase error).</w:t>
      </w:r>
    </w:p>
    <w:p w14:paraId="1A2A1744" w14:textId="77777777" w:rsidR="003175AC" w:rsidRDefault="004A6EF8">
      <w:pPr>
        <w:pStyle w:val="ListParagraph"/>
        <w:numPr>
          <w:ilvl w:val="0"/>
          <w:numId w:val="1"/>
        </w:numPr>
        <w:spacing w:after="80"/>
      </w:pPr>
      <w:r>
        <w:rPr>
          <w:b/>
          <w:bCs/>
          <w:color w:val="005563"/>
        </w:rPr>
        <w:t>Math operations</w:t>
      </w:r>
      <w:r>
        <w:t>, including both standard mathematical operations on attribute data and Boolean logical operations on classified data (as discussed previously).</w:t>
      </w:r>
    </w:p>
    <w:p w14:paraId="5BCB4F70" w14:textId="77777777" w:rsidR="003175AC" w:rsidRDefault="004A6EF8">
      <w:pPr>
        <w:pStyle w:val="ListParagraph"/>
        <w:numPr>
          <w:ilvl w:val="0"/>
          <w:numId w:val="1"/>
        </w:numPr>
        <w:spacing w:after="80"/>
      </w:pPr>
      <w:r>
        <w:rPr>
          <w:b/>
          <w:bCs/>
          <w:color w:val="005563"/>
        </w:rPr>
        <w:t>Cross-validation tools</w:t>
      </w:r>
      <w:r>
        <w:t>, to assess whether results are genuinely robust or have been overfit, guided by the principle of parsimony (balancing bias and residual error to find the best model).</w:t>
      </w:r>
    </w:p>
    <w:p w14:paraId="21B35D52" w14:textId="77777777" w:rsidR="003175AC" w:rsidRDefault="004A6EF8">
      <w:pPr>
        <w:pStyle w:val="ListParagraph"/>
        <w:numPr>
          <w:ilvl w:val="0"/>
          <w:numId w:val="1"/>
        </w:numPr>
        <w:spacing w:after="80"/>
      </w:pPr>
      <w:proofErr w:type="spellStart"/>
      <w:r>
        <w:rPr>
          <w:b/>
          <w:bCs/>
          <w:color w:val="005563"/>
        </w:rPr>
        <w:t>Geobody</w:t>
      </w:r>
      <w:proofErr w:type="spellEnd"/>
      <w:r>
        <w:rPr>
          <w:b/>
          <w:bCs/>
          <w:color w:val="005563"/>
        </w:rPr>
        <w:t>-picking tools</w:t>
      </w:r>
      <w:r>
        <w:t xml:space="preserve">, which are more important in practice than debates over which specific algorithm (deep learning, SOM, k-means) is philosophically preferred; these debates are described as unproductive "religious" arguments. What matters is auto-picking meaningful </w:t>
      </w:r>
      <w:proofErr w:type="spellStart"/>
      <w:r>
        <w:t>geobodies</w:t>
      </w:r>
      <w:proofErr w:type="spellEnd"/>
      <w:r>
        <w:t xml:space="preserve"> that genuinely aid geologic understanding.</w:t>
      </w:r>
    </w:p>
    <w:p w14:paraId="790FE043" w14:textId="77777777" w:rsidR="003175AC" w:rsidRDefault="004A6EF8">
      <w:pPr>
        <w:pStyle w:val="ListParagraph"/>
        <w:numPr>
          <w:ilvl w:val="0"/>
          <w:numId w:val="1"/>
        </w:numPr>
        <w:spacing w:after="80"/>
      </w:pPr>
      <w:r>
        <w:rPr>
          <w:b/>
          <w:bCs/>
          <w:color w:val="005563"/>
        </w:rPr>
        <w:t>Workflows ("thought flows") and dashboards</w:t>
      </w:r>
      <w:r>
        <w:t>, providing a clean, one-page summary of results so an interpreter can quickly judge whether a given run is worth pursuing further, without having to comb through raw output in detail.</w:t>
      </w:r>
    </w:p>
    <w:p w14:paraId="711B637F" w14:textId="77777777" w:rsidR="003175AC" w:rsidRDefault="004A6EF8">
      <w:pPr>
        <w:pStyle w:val="ListParagraph"/>
        <w:numPr>
          <w:ilvl w:val="0"/>
          <w:numId w:val="1"/>
        </w:numPr>
        <w:spacing w:after="80"/>
      </w:pPr>
      <w:r>
        <w:rPr>
          <w:b/>
          <w:bCs/>
          <w:color w:val="005563"/>
        </w:rPr>
        <w:t>Scripting languages and extensible platforms</w:t>
      </w:r>
      <w:r>
        <w:t>, such as Python (currently the most popular choice, though R, C#, and C++ are also used by some), allowing interpreters themselves, not just software developers, to assemble and adapt processing components without lengthy development cycles.</w:t>
      </w:r>
    </w:p>
    <w:p w14:paraId="42C4F466" w14:textId="77777777" w:rsidR="003175AC" w:rsidRDefault="004A6EF8">
      <w:pPr>
        <w:pStyle w:val="Heading2"/>
        <w:spacing w:before="320" w:after="140"/>
      </w:pPr>
      <w:r>
        <w:rPr>
          <w:rFonts w:ascii="Noto Sans Semibold" w:eastAsia="Noto Sans Semibold" w:hAnsi="Noto Sans Semibold" w:cs="Noto Sans Semibold"/>
          <w:b/>
          <w:bCs/>
          <w:color w:val="0080A8"/>
          <w:sz w:val="30"/>
          <w:szCs w:val="30"/>
        </w:rPr>
        <w:t>Multiple Working Models</w:t>
      </w:r>
    </w:p>
    <w:p w14:paraId="18E0D13D" w14:textId="77777777" w:rsidR="003175AC" w:rsidRDefault="004A6EF8">
      <w:pPr>
        <w:spacing w:after="160"/>
      </w:pPr>
      <w:r>
        <w:t xml:space="preserve">Just as multiple working geologic models are generally preferred over committing early to a single interpretation and then building a report to justify it, multiple statistical models </w:t>
      </w:r>
      <w:proofErr w:type="gramStart"/>
      <w:r>
        <w:t>should similarly</w:t>
      </w:r>
      <w:proofErr w:type="gramEnd"/>
      <w:r>
        <w:t xml:space="preserve"> be developed, tested, and compared before a final model is selected for making predictions. Regardless of whether the model in question is geologic or statistical, the quality of the final </w:t>
      </w:r>
      <w:r>
        <w:lastRenderedPageBreak/>
        <w:t>prediction ultimately depends on how well the final model was selected. This selection process is where the interpreter's judgment and decision-making are most directly exercised.</w:t>
      </w:r>
    </w:p>
    <w:p w14:paraId="03C7BF05" w14:textId="77777777" w:rsidR="003175AC" w:rsidRDefault="004A6EF8">
      <w:pPr>
        <w:pStyle w:val="Heading2"/>
        <w:spacing w:before="320" w:after="140"/>
      </w:pPr>
      <w:r>
        <w:rPr>
          <w:rFonts w:ascii="Noto Sans Semibold" w:eastAsia="Noto Sans Semibold" w:hAnsi="Noto Sans Semibold" w:cs="Noto Sans Semibold"/>
          <w:b/>
          <w:bCs/>
          <w:color w:val="0080A8"/>
          <w:sz w:val="30"/>
          <w:szCs w:val="30"/>
        </w:rPr>
        <w:t>Introduction to the Niobrara Case Study</w:t>
      </w:r>
    </w:p>
    <w:p w14:paraId="20F7DC97" w14:textId="77777777" w:rsidR="003175AC" w:rsidRDefault="004A6EF8">
      <w:pPr>
        <w:spacing w:after="160"/>
      </w:pPr>
      <w:r>
        <w:t xml:space="preserve">The Niobrara play, located in northeast Colorado extending into Wyoming, Kansas, and Nebraska, features a broad regional monocline running from the northwest through the southeast and south. The unconventional target here involves fracture density, which relates directly to rock brittleness. Structural features observed in this survey include flexures related to the monocline itself, grabens bounded by normal faults, </w:t>
      </w:r>
      <w:proofErr w:type="spellStart"/>
      <w:r>
        <w:t>listric</w:t>
      </w:r>
      <w:proofErr w:type="spellEnd"/>
      <w:r>
        <w:t xml:space="preserve"> faults, and </w:t>
      </w:r>
      <w:proofErr w:type="gramStart"/>
      <w:r>
        <w:t>a plunging</w:t>
      </w:r>
      <w:proofErr w:type="gramEnd"/>
      <w:r>
        <w:t xml:space="preserve"> anticline with associated folding.</w:t>
      </w:r>
    </w:p>
    <w:p w14:paraId="5FD6420E" w14:textId="77777777" w:rsidR="003175AC" w:rsidRDefault="004A6EF8">
      <w:pPr>
        <w:spacing w:after="160"/>
      </w:pPr>
      <w:r>
        <w:t>The primary reflection of interest is the Niobrara, at roughly 1.5 seconds, with the deeper Dakota marker at roughly 1.65 seconds, giving a working interval of about 150 milliseconds overall, though the specific Niobrara sweet-spot interval of interest (from the base of the interval up through the Niobrara) is considerably narrower, roughly 75 milliseconds.</w:t>
      </w:r>
    </w:p>
    <w:p w14:paraId="39B0EB94" w14:textId="77777777" w:rsidR="003175AC" w:rsidRDefault="004A6EF8">
      <w:pPr>
        <w:spacing w:after="160"/>
      </w:pPr>
      <w:r>
        <w:t xml:space="preserve">The Niobrara itself contains three sand-prone benches within the shale: the Niobrara A, B, and C benches, bounded above by the Pierre Shale and below (beneath the Niobrara C) by </w:t>
      </w:r>
      <w:proofErr w:type="gramStart"/>
      <w:r>
        <w:t>the Fort</w:t>
      </w:r>
      <w:proofErr w:type="gramEnd"/>
      <w:r>
        <w:t xml:space="preserve"> Hays Limestone. Formation tops for the A, B, and C benches (and their respective bases), along with the Fort Hays top and Codell markers, were identified from well logs, corresponding to a peak-trough-peak seismic reflection pattern.</w:t>
      </w:r>
    </w:p>
    <w:p w14:paraId="534A5419" w14:textId="77777777" w:rsidR="003175AC" w:rsidRDefault="004A6EF8">
      <w:pPr>
        <w:pStyle w:val="Heading2"/>
        <w:spacing w:before="320" w:after="140"/>
      </w:pPr>
      <w:r>
        <w:rPr>
          <w:rFonts w:ascii="Noto Sans Semibold" w:eastAsia="Noto Sans Semibold" w:hAnsi="Noto Sans Semibold" w:cs="Noto Sans Semibold"/>
          <w:b/>
          <w:bCs/>
          <w:color w:val="0080A8"/>
          <w:sz w:val="30"/>
          <w:szCs w:val="30"/>
        </w:rPr>
        <w:t>Sarah Stanley's Analysis</w:t>
      </w:r>
    </w:p>
    <w:p w14:paraId="658919EC" w14:textId="77777777" w:rsidR="003175AC" w:rsidRDefault="004A6EF8">
      <w:pPr>
        <w:spacing w:after="160"/>
      </w:pPr>
      <w:r>
        <w:t>Sarah Stanley conducted a PCA-based attribute selection process, ultimately choosing the Hilbert transform, instantaneous frequency and Q, normalized amplitude, relative acoustic impedance, and a thin-bed/Niobrara-enhanced attribute, all computed at 1-millisecond sampling. An eight-by-eight hexagonal SOM was run using this attribute set.</w:t>
      </w:r>
    </w:p>
    <w:p w14:paraId="57B46094" w14:textId="77777777" w:rsidR="003175AC" w:rsidRDefault="004A6EF8">
      <w:pPr>
        <w:spacing w:after="160"/>
      </w:pPr>
      <w:r>
        <w:t>At one well (the Leffler 34-2), gamma ray, density, and an ILV log show the Niobrara benches A, B, and C spanning roughly 280 feet between the Niobrara top and base, a relatively thin overall interval. The SOM classification, viewed alongside the standard wiggle-trace/variable-area amplitude display, showed a small graben near the well (bounded by two faults), with the auto-picked Niobrara top horizon dropping and recovering across the structure.</w:t>
      </w:r>
    </w:p>
    <w:p w14:paraId="3DE9F28B" w14:textId="77777777" w:rsidR="003175AC" w:rsidRDefault="004A6EF8">
      <w:pPr>
        <w:spacing w:after="160"/>
      </w:pPr>
      <w:r>
        <w:t>At two nearby horizontal wells, perforation zones (drilled independent of this SOM analysis) were compared to the classification results; one perforation zone appeared potentially misplaced relative to the interpreted target zone based on this analysis. Comparing the SOM classification's resolution to the standard wiggle-trace display illustrates the value of unsupervised neural network analysis for working below tuning thickness, without dismissing the continued importance of standard wavelet-based methods</w:t>
      </w:r>
      <w:r>
        <w:t xml:space="preserve"> for tasks like horizon and top picking.</w:t>
      </w:r>
    </w:p>
    <w:p w14:paraId="530AA419" w14:textId="77777777" w:rsidR="003175AC" w:rsidRDefault="004A6EF8">
      <w:pPr>
        <w:spacing w:after="160"/>
      </w:pPr>
      <w:r>
        <w:t xml:space="preserve">One of Sarah's early findings was that potential sweet spots within the benches (indicated by </w:t>
      </w:r>
      <w:proofErr w:type="gramStart"/>
      <w:r>
        <w:t>specific white-colored</w:t>
      </w:r>
      <w:proofErr w:type="gramEnd"/>
      <w:r>
        <w:t xml:space="preserve"> zones in the classification) tended to occur near the mapped grabens, consistent with prior general industry knowledge about Niobrara sweet spot behavior, providing an encouraging validation of the approach.</w:t>
      </w:r>
    </w:p>
    <w:p w14:paraId="5A46389C" w14:textId="77777777" w:rsidR="003175AC" w:rsidRDefault="004A6EF8">
      <w:pPr>
        <w:pStyle w:val="Heading3"/>
        <w:spacing w:before="240" w:after="100"/>
      </w:pPr>
      <w:r>
        <w:rPr>
          <w:rFonts w:ascii="Noto Sans Semibold" w:eastAsia="Noto Sans Semibold" w:hAnsi="Noto Sans Semibold" w:cs="Noto Sans Semibold"/>
          <w:b/>
          <w:bCs/>
          <w:color w:val="005563"/>
        </w:rPr>
        <w:t>Classification Probability and Shale Continuity</w:t>
      </w:r>
    </w:p>
    <w:p w14:paraId="52F6973B" w14:textId="77777777" w:rsidR="003175AC" w:rsidRDefault="004A6EF8">
      <w:pPr>
        <w:spacing w:after="160"/>
      </w:pPr>
      <w:r>
        <w:lastRenderedPageBreak/>
        <w:t>Examining classification probability, low-probability zones in the Niobrara A bench correlated with previously known sweet spot areas, offering a useful, though not definitive, starting point for relating machine learning results to established local knowledge of sweet spot locations. A second useful finding involved tracing shale continuity across the survey: certain shale zones could be tracked continuously through parts of the survey, then appeared to die out before picking up again farther along, sugges</w:t>
      </w:r>
      <w:r>
        <w:t xml:space="preserve">ting the potential to construct geologically realistic shale </w:t>
      </w:r>
      <w:proofErr w:type="spellStart"/>
      <w:r>
        <w:t>geobodies</w:t>
      </w:r>
      <w:proofErr w:type="spellEnd"/>
      <w:r>
        <w:t xml:space="preserve"> from these winning-neuron-defined zones, with arrows in the analysis marking locations where shale appeared to be missing and circles marking low-probability zones associated with Niobrara richness.</w:t>
      </w:r>
    </w:p>
    <w:p w14:paraId="5914951D" w14:textId="77777777" w:rsidR="003175AC" w:rsidRDefault="004A6EF8">
      <w:pPr>
        <w:pStyle w:val="Heading2"/>
        <w:spacing w:before="320" w:after="140"/>
      </w:pPr>
      <w:r>
        <w:rPr>
          <w:rFonts w:ascii="Noto Sans Semibold" w:eastAsia="Noto Sans Semibold" w:hAnsi="Noto Sans Semibold" w:cs="Noto Sans Semibold"/>
          <w:b/>
          <w:bCs/>
          <w:color w:val="0080A8"/>
          <w:sz w:val="30"/>
          <w:szCs w:val="30"/>
        </w:rPr>
        <w:t>Summary</w:t>
      </w:r>
    </w:p>
    <w:p w14:paraId="05A95BD8" w14:textId="77777777" w:rsidR="003175AC" w:rsidRDefault="004A6EF8">
      <w:pPr>
        <w:spacing w:after="160"/>
      </w:pPr>
      <w:r>
        <w:t xml:space="preserve">This session introduced the new tools available within a modern geoscientist's interpretation workflow and demonstrated how they were applied to evaluate </w:t>
      </w:r>
      <w:proofErr w:type="gramStart"/>
      <w:r>
        <w:t>the Niobrara</w:t>
      </w:r>
      <w:proofErr w:type="gramEnd"/>
      <w:r>
        <w:t xml:space="preserve"> play. It included an example of using SOM classification and probability analysis to indicate likely sweet spot areas and to help determine where reservoir-quality rock is, and is not, likely to be present.</w:t>
      </w:r>
    </w:p>
    <w:sectPr w:rsidR="003175AC">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A419" w14:textId="77777777" w:rsidR="004A6EF8" w:rsidRDefault="004A6EF8">
      <w:r>
        <w:separator/>
      </w:r>
    </w:p>
  </w:endnote>
  <w:endnote w:type="continuationSeparator" w:id="0">
    <w:p w14:paraId="16F9F562" w14:textId="77777777" w:rsidR="004A6EF8" w:rsidRDefault="004A6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F725" w14:textId="77777777" w:rsidR="003175AC" w:rsidRDefault="004A6EF8">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BB4394">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42E89" w14:textId="77777777" w:rsidR="004A6EF8" w:rsidRDefault="004A6EF8">
      <w:r>
        <w:separator/>
      </w:r>
    </w:p>
  </w:footnote>
  <w:footnote w:type="continuationSeparator" w:id="0">
    <w:p w14:paraId="0267738F" w14:textId="77777777" w:rsidR="004A6EF8" w:rsidRDefault="004A6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9C46" w14:textId="77777777" w:rsidR="003175AC" w:rsidRDefault="004A6EF8">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E761B"/>
    <w:multiLevelType w:val="hybridMultilevel"/>
    <w:tmpl w:val="672C6640"/>
    <w:lvl w:ilvl="0" w:tplc="0108EF24">
      <w:start w:val="1"/>
      <w:numFmt w:val="decimal"/>
      <w:lvlText w:val="%1."/>
      <w:lvlJc w:val="left"/>
      <w:pPr>
        <w:ind w:left="460" w:hanging="260"/>
      </w:pPr>
    </w:lvl>
    <w:lvl w:ilvl="1" w:tplc="E7EE18F2">
      <w:numFmt w:val="decimal"/>
      <w:lvlText w:val=""/>
      <w:lvlJc w:val="left"/>
    </w:lvl>
    <w:lvl w:ilvl="2" w:tplc="3C14204C">
      <w:numFmt w:val="decimal"/>
      <w:lvlText w:val=""/>
      <w:lvlJc w:val="left"/>
    </w:lvl>
    <w:lvl w:ilvl="3" w:tplc="536A880A">
      <w:numFmt w:val="decimal"/>
      <w:lvlText w:val=""/>
      <w:lvlJc w:val="left"/>
    </w:lvl>
    <w:lvl w:ilvl="4" w:tplc="541E641A">
      <w:numFmt w:val="decimal"/>
      <w:lvlText w:val=""/>
      <w:lvlJc w:val="left"/>
    </w:lvl>
    <w:lvl w:ilvl="5" w:tplc="BB7ACA84">
      <w:numFmt w:val="decimal"/>
      <w:lvlText w:val=""/>
      <w:lvlJc w:val="left"/>
    </w:lvl>
    <w:lvl w:ilvl="6" w:tplc="C552971C">
      <w:numFmt w:val="decimal"/>
      <w:lvlText w:val=""/>
      <w:lvlJc w:val="left"/>
    </w:lvl>
    <w:lvl w:ilvl="7" w:tplc="7C369B7E">
      <w:numFmt w:val="decimal"/>
      <w:lvlText w:val=""/>
      <w:lvlJc w:val="left"/>
    </w:lvl>
    <w:lvl w:ilvl="8" w:tplc="CCDA4D06">
      <w:numFmt w:val="decimal"/>
      <w:lvlText w:val=""/>
      <w:lvlJc w:val="left"/>
    </w:lvl>
  </w:abstractNum>
  <w:abstractNum w:abstractNumId="1" w15:restartNumberingAfterBreak="0">
    <w:nsid w:val="7B2A40A4"/>
    <w:multiLevelType w:val="hybridMultilevel"/>
    <w:tmpl w:val="45588E84"/>
    <w:lvl w:ilvl="0" w:tplc="C5E6AA68">
      <w:start w:val="1"/>
      <w:numFmt w:val="bullet"/>
      <w:lvlText w:val="●"/>
      <w:lvlJc w:val="left"/>
      <w:pPr>
        <w:ind w:left="720" w:hanging="360"/>
      </w:pPr>
    </w:lvl>
    <w:lvl w:ilvl="1" w:tplc="E168E384">
      <w:start w:val="1"/>
      <w:numFmt w:val="bullet"/>
      <w:lvlText w:val="○"/>
      <w:lvlJc w:val="left"/>
      <w:pPr>
        <w:ind w:left="1440" w:hanging="360"/>
      </w:pPr>
    </w:lvl>
    <w:lvl w:ilvl="2" w:tplc="E4E8174E">
      <w:start w:val="1"/>
      <w:numFmt w:val="bullet"/>
      <w:lvlText w:val="■"/>
      <w:lvlJc w:val="left"/>
      <w:pPr>
        <w:ind w:left="2160" w:hanging="360"/>
      </w:pPr>
    </w:lvl>
    <w:lvl w:ilvl="3" w:tplc="864EEAA2">
      <w:start w:val="1"/>
      <w:numFmt w:val="bullet"/>
      <w:lvlText w:val="●"/>
      <w:lvlJc w:val="left"/>
      <w:pPr>
        <w:ind w:left="2880" w:hanging="360"/>
      </w:pPr>
    </w:lvl>
    <w:lvl w:ilvl="4" w:tplc="CD96A176">
      <w:start w:val="1"/>
      <w:numFmt w:val="bullet"/>
      <w:lvlText w:val="○"/>
      <w:lvlJc w:val="left"/>
      <w:pPr>
        <w:ind w:left="3600" w:hanging="360"/>
      </w:pPr>
    </w:lvl>
    <w:lvl w:ilvl="5" w:tplc="D6DC4EC4">
      <w:start w:val="1"/>
      <w:numFmt w:val="bullet"/>
      <w:lvlText w:val="■"/>
      <w:lvlJc w:val="left"/>
      <w:pPr>
        <w:ind w:left="4320" w:hanging="360"/>
      </w:pPr>
    </w:lvl>
    <w:lvl w:ilvl="6" w:tplc="323CB718">
      <w:start w:val="1"/>
      <w:numFmt w:val="bullet"/>
      <w:lvlText w:val="●"/>
      <w:lvlJc w:val="left"/>
      <w:pPr>
        <w:ind w:left="5040" w:hanging="360"/>
      </w:pPr>
    </w:lvl>
    <w:lvl w:ilvl="7" w:tplc="86CCAA30">
      <w:start w:val="1"/>
      <w:numFmt w:val="bullet"/>
      <w:lvlText w:val="●"/>
      <w:lvlJc w:val="left"/>
      <w:pPr>
        <w:ind w:left="5760" w:hanging="360"/>
      </w:pPr>
    </w:lvl>
    <w:lvl w:ilvl="8" w:tplc="8D464864">
      <w:start w:val="1"/>
      <w:numFmt w:val="bullet"/>
      <w:lvlText w:val="●"/>
      <w:lvlJc w:val="left"/>
      <w:pPr>
        <w:ind w:left="6480" w:hanging="360"/>
      </w:pPr>
    </w:lvl>
  </w:abstractNum>
  <w:num w:numId="1" w16cid:durableId="51022367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C"/>
    <w:rsid w:val="000B1CE4"/>
    <w:rsid w:val="003175AC"/>
    <w:rsid w:val="004A6EF8"/>
    <w:rsid w:val="00BB4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59D0"/>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2F6D0A-AFD9-4BE9-AD3C-FC886A4DDBD4}"/>
</file>

<file path=customXml/itemProps2.xml><?xml version="1.0" encoding="utf-8"?>
<ds:datastoreItem xmlns:ds="http://schemas.openxmlformats.org/officeDocument/2006/customXml" ds:itemID="{0B2D8676-EA20-4791-AD4D-371CD2ACDB0B}"/>
</file>

<file path=customXml/itemProps3.xml><?xml version="1.0" encoding="utf-8"?>
<ds:datastoreItem xmlns:ds="http://schemas.openxmlformats.org/officeDocument/2006/customXml" ds:itemID="{2A629BD5-2C10-4FA8-966B-3E000815BB02}"/>
</file>

<file path=docProps/app.xml><?xml version="1.0" encoding="utf-8"?>
<Properties xmlns="http://schemas.openxmlformats.org/officeDocument/2006/extended-properties" xmlns:vt="http://schemas.openxmlformats.org/officeDocument/2006/docPropsVTypes">
  <Template>Normal.dotm</Template>
  <TotalTime>10</TotalTime>
  <Pages>4</Pages>
  <Words>1087</Words>
  <Characters>6200</Characters>
  <Application>Microsoft Office Word</Application>
  <DocSecurity>0</DocSecurity>
  <Lines>51</Lines>
  <Paragraphs>14</Paragraphs>
  <ScaleCrop>false</ScaleCrop>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2026-08-06T13:17:00Z</dcterms:created>
  <dcterms:modified xsi:type="dcterms:W3CDTF">2026-08-06T13:17:00Z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