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5401C" w14:textId="77777777" w:rsidR="005A788A" w:rsidRDefault="009A3CC4">
      <w:pPr>
        <w:spacing w:before="400" w:after="500"/>
      </w:pPr>
      <w:r>
        <w:rPr>
          <w:noProof/>
        </w:rPr>
        <w:drawing>
          <wp:inline distT="0" distB="0" distL="0" distR="0" wp14:anchorId="60355A7A" wp14:editId="79DCE10B">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1A39451F" w14:textId="77777777" w:rsidR="005A788A" w:rsidRDefault="009A3CC4">
      <w:pPr>
        <w:spacing w:before="800" w:after="120"/>
      </w:pPr>
      <w:r>
        <w:rPr>
          <w:rFonts w:ascii="Noto Sans Semibold" w:eastAsia="Noto Sans Semibold" w:hAnsi="Noto Sans Semibold" w:cs="Noto Sans Semibold"/>
          <w:b/>
          <w:bCs/>
          <w:color w:val="005563"/>
          <w:sz w:val="56"/>
          <w:szCs w:val="56"/>
        </w:rPr>
        <w:t>Machine Learning Interpretation and Efficiency, Part 2</w:t>
      </w:r>
    </w:p>
    <w:p w14:paraId="221D6CA9" w14:textId="77777777" w:rsidR="005A788A" w:rsidRDefault="005A788A">
      <w:pPr>
        <w:pBdr>
          <w:bottom w:val="single" w:sz="18" w:space="8" w:color="F7941D"/>
        </w:pBdr>
        <w:spacing w:after="300"/>
      </w:pPr>
    </w:p>
    <w:p w14:paraId="5DDE6449" w14:textId="77777777" w:rsidR="005A788A" w:rsidRDefault="009A3CC4">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37BA3D01" w14:textId="77777777" w:rsidR="005A788A" w:rsidRDefault="009A3CC4">
      <w:r>
        <w:br w:type="page"/>
      </w:r>
    </w:p>
    <w:p w14:paraId="7EC32C32" w14:textId="77777777" w:rsidR="005A788A" w:rsidRDefault="009A3CC4">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20837C64" w14:textId="77777777" w:rsidR="005A788A" w:rsidRDefault="009A3CC4">
      <w:pPr>
        <w:spacing w:after="160"/>
      </w:pPr>
      <w:r>
        <w:t>This session focuses on different examples of natural clusters and how neurons sort data ("cluster wars"), illustrating the importance of applying geologic interpretation to machine learning results.</w:t>
      </w:r>
    </w:p>
    <w:p w14:paraId="6F47D67A" w14:textId="77777777" w:rsidR="005A788A" w:rsidRDefault="009A3CC4">
      <w:pPr>
        <w:pStyle w:val="Heading2"/>
        <w:spacing w:before="320" w:after="140"/>
      </w:pPr>
      <w:r>
        <w:rPr>
          <w:rFonts w:ascii="Noto Sans Semibold" w:eastAsia="Noto Sans Semibold" w:hAnsi="Noto Sans Semibold" w:cs="Noto Sans Semibold"/>
          <w:b/>
          <w:bCs/>
          <w:color w:val="0080A8"/>
          <w:sz w:val="30"/>
          <w:szCs w:val="30"/>
        </w:rPr>
        <w:t xml:space="preserve">Review: Possible Relationships Between Winning Neurons and </w:t>
      </w:r>
      <w:proofErr w:type="spellStart"/>
      <w:r>
        <w:rPr>
          <w:rFonts w:ascii="Noto Sans Semibold" w:eastAsia="Noto Sans Semibold" w:hAnsi="Noto Sans Semibold" w:cs="Noto Sans Semibold"/>
          <w:b/>
          <w:bCs/>
          <w:color w:val="0080A8"/>
          <w:sz w:val="30"/>
          <w:szCs w:val="30"/>
        </w:rPr>
        <w:t>Geobodies</w:t>
      </w:r>
      <w:proofErr w:type="spellEnd"/>
    </w:p>
    <w:p w14:paraId="31FBF178" w14:textId="77777777" w:rsidR="005A788A" w:rsidRDefault="009A3CC4">
      <w:pPr>
        <w:spacing w:after="160"/>
      </w:pPr>
      <w:r>
        <w:t xml:space="preserve">As established previously, a winning neuron may: capture a natural cluster traceable to a real </w:t>
      </w:r>
      <w:proofErr w:type="spellStart"/>
      <w:r>
        <w:t>geobody</w:t>
      </w:r>
      <w:proofErr w:type="spellEnd"/>
      <w:r>
        <w:t xml:space="preserve">; capture coherent energy that is not geology (for example, an acquisition artifact or interbed multiples); share a single natural cluster with other winning neurons; own a cluster traceable to several separate </w:t>
      </w:r>
      <w:proofErr w:type="spellStart"/>
      <w:r>
        <w:t>geobodies</w:t>
      </w:r>
      <w:proofErr w:type="spellEnd"/>
      <w:r>
        <w:t xml:space="preserve"> (a positive sign, since it shows the same natural cluster recurring across multiple real features); own a cluster that traces to only a portion of a larger </w:t>
      </w:r>
      <w:proofErr w:type="spellStart"/>
      <w:r>
        <w:t>geobody</w:t>
      </w:r>
      <w:proofErr w:type="spellEnd"/>
      <w:r>
        <w:t xml:space="preserve"> (for example, different segments of a meandering channel); or be an orphan or capture pure noise during training.</w:t>
      </w:r>
    </w:p>
    <w:p w14:paraId="296B58D8" w14:textId="77777777" w:rsidR="005A788A" w:rsidRDefault="009A3CC4">
      <w:pPr>
        <w:pStyle w:val="Heading2"/>
        <w:spacing w:before="320" w:after="140"/>
      </w:pPr>
      <w:r>
        <w:rPr>
          <w:rFonts w:ascii="Noto Sans Semibold" w:eastAsia="Noto Sans Semibold" w:hAnsi="Noto Sans Semibold" w:cs="Noto Sans Semibold"/>
          <w:b/>
          <w:bCs/>
          <w:color w:val="0080A8"/>
          <w:sz w:val="30"/>
          <w:szCs w:val="30"/>
        </w:rPr>
        <w:t>Cluster Wars: Synthetic Examples</w:t>
      </w:r>
    </w:p>
    <w:p w14:paraId="163C1E8D" w14:textId="77777777" w:rsidR="005A788A" w:rsidRDefault="009A3CC4">
      <w:pPr>
        <w:spacing w:after="160"/>
      </w:pPr>
      <w:r>
        <w:t xml:space="preserve">A series of synthetic (artificial) two-attribute examples </w:t>
      </w:r>
      <w:proofErr w:type="gramStart"/>
      <w:r>
        <w:t>illustrates</w:t>
      </w:r>
      <w:proofErr w:type="gramEnd"/>
      <w:r>
        <w:t xml:space="preserve"> how SOM handles different configurations of natural clusters relative to the number of neurons used.</w:t>
      </w:r>
    </w:p>
    <w:p w14:paraId="1B6CD706" w14:textId="77777777" w:rsidR="005A788A" w:rsidRDefault="009A3CC4">
      <w:pPr>
        <w:pStyle w:val="Heading3"/>
        <w:spacing w:before="240" w:after="100"/>
      </w:pPr>
      <w:r>
        <w:rPr>
          <w:rFonts w:ascii="Noto Sans Semibold" w:eastAsia="Noto Sans Semibold" w:hAnsi="Noto Sans Semibold" w:cs="Noto Sans Semibold"/>
          <w:b/>
          <w:bCs/>
          <w:color w:val="005563"/>
        </w:rPr>
        <w:t>Four Clusters, Four Neurons</w:t>
      </w:r>
    </w:p>
    <w:p w14:paraId="3981C5D1" w14:textId="77777777" w:rsidR="005A788A" w:rsidRDefault="009A3CC4">
      <w:pPr>
        <w:spacing w:after="160"/>
      </w:pPr>
      <w:r>
        <w:t xml:space="preserve">With four natural clusters and four neurons, training and classification generally assign each cluster its own distinct winning neuron (illustrated with different marker shapes: X's, triangles, pluses, squares). </w:t>
      </w:r>
      <w:proofErr w:type="gramStart"/>
      <w:r>
        <w:t>Plus</w:t>
      </w:r>
      <w:proofErr w:type="gramEnd"/>
      <w:r>
        <w:t xml:space="preserve"> marks indicate the location of each cluster's generating function; circles indicate the resulting winning neuron locations. Some samples near cluster boundaries may appear ambiguous as to which cluster they truly belong to.</w:t>
      </w:r>
    </w:p>
    <w:p w14:paraId="428EA516" w14:textId="77777777" w:rsidR="005A788A" w:rsidRDefault="009A3CC4">
      <w:pPr>
        <w:pStyle w:val="Heading3"/>
        <w:spacing w:before="240" w:after="100"/>
      </w:pPr>
      <w:r>
        <w:rPr>
          <w:rFonts w:ascii="Noto Sans Semibold" w:eastAsia="Noto Sans Semibold" w:hAnsi="Noto Sans Semibold" w:cs="Noto Sans Semibold"/>
          <w:b/>
          <w:bCs/>
          <w:color w:val="005563"/>
        </w:rPr>
        <w:t>Six Clusters, Four Neurons (Under-Resourced)</w:t>
      </w:r>
    </w:p>
    <w:p w14:paraId="756025BD" w14:textId="77777777" w:rsidR="005A788A" w:rsidRDefault="009A3CC4">
      <w:pPr>
        <w:spacing w:after="160"/>
      </w:pPr>
      <w:r>
        <w:t>With six natural clusters but only four neurons, two of the neurons must each classify a pair of clusters, splitting the difference between two nearby cluster centers. The boundary between two such shared clusters is the perpendicular bisector of the line connecting the two involved winning neurons, exactly as seen in earlier discussions of Voronoi-style classification boundaries.</w:t>
      </w:r>
    </w:p>
    <w:p w14:paraId="0494C152" w14:textId="77777777" w:rsidR="005A788A" w:rsidRDefault="009A3CC4">
      <w:pPr>
        <w:pStyle w:val="Heading3"/>
        <w:spacing w:before="240" w:after="100"/>
      </w:pPr>
      <w:r>
        <w:rPr>
          <w:rFonts w:ascii="Noto Sans Semibold" w:eastAsia="Noto Sans Semibold" w:hAnsi="Noto Sans Semibold" w:cs="Noto Sans Semibold"/>
          <w:b/>
          <w:bCs/>
          <w:color w:val="005563"/>
        </w:rPr>
        <w:t>Six Clusters, Ten Neurons (Over-Resourced)</w:t>
      </w:r>
    </w:p>
    <w:p w14:paraId="59C90B6E" w14:textId="77777777" w:rsidR="005A788A" w:rsidRDefault="009A3CC4">
      <w:pPr>
        <w:spacing w:after="160"/>
      </w:pPr>
      <w:r>
        <w:t>With six natural clusters and ten neurons, results are mixed: some clusters are cleanly identified by a single neuron, while others are split into two, three, or more parts by multiple competing neurons; some neurons end up with no associated samples at all (orphans). In this example, only two of the six clusters were identified cleanly, while the other four were divided among eight separate winning neurons.</w:t>
      </w:r>
    </w:p>
    <w:p w14:paraId="10C84DFC" w14:textId="77777777" w:rsidR="005A788A" w:rsidRDefault="009A3CC4">
      <w:pPr>
        <w:pStyle w:val="Heading3"/>
        <w:spacing w:before="240" w:after="100"/>
      </w:pPr>
      <w:r>
        <w:rPr>
          <w:rFonts w:ascii="Noto Sans Semibold" w:eastAsia="Noto Sans Semibold" w:hAnsi="Noto Sans Semibold" w:cs="Noto Sans Semibold"/>
          <w:b/>
          <w:bCs/>
          <w:color w:val="005563"/>
        </w:rPr>
        <w:t>Two Clusters of Different Sizes, Four Neurons</w:t>
      </w:r>
    </w:p>
    <w:p w14:paraId="6F6479E9" w14:textId="77777777" w:rsidR="005A788A" w:rsidRDefault="009A3CC4">
      <w:pPr>
        <w:spacing w:after="160"/>
      </w:pPr>
      <w:r>
        <w:t>With two natural clusters of unequal size and four neurons, one neuron may capture the entire smaller cluster, while the larger cluster is split among the remaining three neurons. This reflects a fundamental, density-preserving property of SOM: larger, higher-density natural clusters attract more winning neurons than smaller, lower-density clusters.</w:t>
      </w:r>
    </w:p>
    <w:p w14:paraId="7CA5D6C7" w14:textId="77777777" w:rsidR="005A788A" w:rsidRDefault="009A3CC4">
      <w:pPr>
        <w:spacing w:after="160"/>
      </w:pPr>
      <w:r>
        <w:rPr>
          <w:b/>
          <w:bCs/>
          <w:color w:val="005563"/>
        </w:rPr>
        <w:lastRenderedPageBreak/>
        <w:t>Key takeaway from these exercises:</w:t>
      </w:r>
      <w:r>
        <w:t xml:space="preserve"> interpretation is always required after running SOM, since not every winning neuron corresponds to a useful </w:t>
      </w:r>
      <w:proofErr w:type="spellStart"/>
      <w:r>
        <w:t>geobody</w:t>
      </w:r>
      <w:proofErr w:type="spellEnd"/>
      <w:r>
        <w:t xml:space="preserve">. </w:t>
      </w:r>
      <w:proofErr w:type="gramStart"/>
      <w:r>
        <w:t>All of</w:t>
      </w:r>
      <w:proofErr w:type="gramEnd"/>
      <w:r>
        <w:t xml:space="preserve"> the previously described neuron-to-</w:t>
      </w:r>
      <w:proofErr w:type="spellStart"/>
      <w:r>
        <w:t>geobody</w:t>
      </w:r>
      <w:proofErr w:type="spellEnd"/>
      <w:r>
        <w:t xml:space="preserve"> relationship types (single </w:t>
      </w:r>
      <w:proofErr w:type="spellStart"/>
      <w:r>
        <w:t>geobody</w:t>
      </w:r>
      <w:proofErr w:type="spellEnd"/>
      <w:r>
        <w:t xml:space="preserve">, shared </w:t>
      </w:r>
      <w:proofErr w:type="spellStart"/>
      <w:r>
        <w:t>geobody</w:t>
      </w:r>
      <w:proofErr w:type="spellEnd"/>
      <w:r>
        <w:t xml:space="preserve">, multiple </w:t>
      </w:r>
      <w:proofErr w:type="spellStart"/>
      <w:r>
        <w:t>geobodies</w:t>
      </w:r>
      <w:proofErr w:type="spellEnd"/>
      <w:r>
        <w:t xml:space="preserve">, partial </w:t>
      </w:r>
      <w:proofErr w:type="spellStart"/>
      <w:r>
        <w:t>geobody</w:t>
      </w:r>
      <w:proofErr w:type="spellEnd"/>
      <w:r>
        <w:t>) require an interpreter's judgment to sort out; at present, this interpretive step cannot be fully automated.</w:t>
      </w:r>
    </w:p>
    <w:p w14:paraId="012D894E" w14:textId="77777777" w:rsidR="005A788A" w:rsidRDefault="009A3CC4">
      <w:pPr>
        <w:pStyle w:val="Heading2"/>
        <w:spacing w:before="320" w:after="140"/>
      </w:pPr>
      <w:r>
        <w:rPr>
          <w:rFonts w:ascii="Noto Sans Semibold" w:eastAsia="Noto Sans Semibold" w:hAnsi="Noto Sans Semibold" w:cs="Noto Sans Semibold"/>
          <w:b/>
          <w:bCs/>
          <w:color w:val="0080A8"/>
          <w:sz w:val="30"/>
          <w:szCs w:val="30"/>
        </w:rPr>
        <w:t>The Visual Cortex Connection</w:t>
      </w:r>
    </w:p>
    <w:p w14:paraId="4AF9364C" w14:textId="77777777" w:rsidR="005A788A" w:rsidRDefault="009A3CC4">
      <w:pPr>
        <w:spacing w:after="160"/>
      </w:pPr>
      <w:r>
        <w:t>Kohonen originally developed self-organizing map training rules based on studies of the visual cortex. In the visual cortex (located at the back of the brain), the right eye's input feeds primarily into the left hemisphere's visual cortex, and the left eye's input feeds primarily into the right hemisphere, crossing over in the midbrain. Functional MRI studies show clear correspondence between visual input patterns and the specific regions of the visual cortex that respond to them, closely paralleling the wa</w:t>
      </w:r>
      <w:r>
        <w:t>y SOM organizes attribute-space information into spatially coherent regions on its neuron topology map. This parallel between biological visual processing and SOM's self-organizing structure is presented as directly relevant to how interpreters visually recognize patterns in seismic classification results.</w:t>
      </w:r>
    </w:p>
    <w:p w14:paraId="55A4EDF5" w14:textId="77777777" w:rsidR="005A788A" w:rsidRDefault="009A3CC4">
      <w:pPr>
        <w:pStyle w:val="Heading2"/>
        <w:spacing w:before="320" w:after="140"/>
      </w:pPr>
      <w:r>
        <w:rPr>
          <w:rFonts w:ascii="Noto Sans Semibold" w:eastAsia="Noto Sans Semibold" w:hAnsi="Noto Sans Semibold" w:cs="Noto Sans Semibold"/>
          <w:b/>
          <w:bCs/>
          <w:color w:val="0080A8"/>
          <w:sz w:val="30"/>
          <w:szCs w:val="30"/>
        </w:rPr>
        <w:t>Case Example: Upthrown and Downthrown Reservoirs (Deborah's YOL Play)</w:t>
      </w:r>
    </w:p>
    <w:p w14:paraId="3349A7F9" w14:textId="77777777" w:rsidR="005A788A" w:rsidRDefault="009A3CC4">
      <w:pPr>
        <w:spacing w:after="160"/>
      </w:pPr>
      <w:r>
        <w:t>An associate, Deborah, worked with a fault-bounded reservoir pair: an upthrown reservoir on one side of a fault and a downthrown reservoir on the other, each confirmed by a separate well penetration. This analysis used an eight-by-eight SOM neuron topology.</w:t>
      </w:r>
    </w:p>
    <w:p w14:paraId="2BBDB860" w14:textId="77777777" w:rsidR="005A788A" w:rsidRDefault="009A3CC4">
      <w:pPr>
        <w:spacing w:after="160"/>
      </w:pPr>
      <w:r>
        <w:t>When Deborah presented these results, her supervisor asked two direct questions:</w:t>
      </w:r>
    </w:p>
    <w:p w14:paraId="28570834" w14:textId="77777777" w:rsidR="005A788A" w:rsidRDefault="009A3CC4">
      <w:pPr>
        <w:pStyle w:val="ListParagraph"/>
        <w:numPr>
          <w:ilvl w:val="0"/>
          <w:numId w:val="2"/>
        </w:numPr>
        <w:spacing w:after="80"/>
      </w:pPr>
      <w:r>
        <w:rPr>
          <w:b/>
          <w:bCs/>
          <w:color w:val="005563"/>
        </w:rPr>
        <w:t>Why is the upthrown reservoir blue and the downthrown reservoir red?</w:t>
      </w:r>
      <w:r>
        <w:t xml:space="preserve"> The direct answer is that each reservoir corresponds to a different combination of attribute values, placing it in a different, specific region of attribute space; that difference is reflected as a different winning neuron and therefore a different color. A more detailed explanation of exactly why the attribute combinations differ between the two fault blocks would require further, more detailed geologic investigation.</w:t>
      </w:r>
    </w:p>
    <w:p w14:paraId="2DE277C0" w14:textId="77777777" w:rsidR="005A788A" w:rsidRDefault="009A3CC4">
      <w:pPr>
        <w:pStyle w:val="ListParagraph"/>
        <w:numPr>
          <w:ilvl w:val="0"/>
          <w:numId w:val="2"/>
        </w:numPr>
        <w:spacing w:after="80"/>
      </w:pPr>
      <w:r>
        <w:rPr>
          <w:b/>
          <w:bCs/>
          <w:color w:val="005563"/>
        </w:rPr>
        <w:t>Why does each reservoir show more than one color?</w:t>
      </w:r>
      <w:r>
        <w:t xml:space="preserve"> Because each reservoir was interpreted as a combination of several simple </w:t>
      </w:r>
      <w:proofErr w:type="spellStart"/>
      <w:r>
        <w:t>geobodies</w:t>
      </w:r>
      <w:proofErr w:type="spellEnd"/>
      <w:r>
        <w:t xml:space="preserve"> (several distinct winning neurons), reflecting real internal variation within the reservoir, such as changes in thickness or fluid contacts. Combining these simple </w:t>
      </w:r>
      <w:proofErr w:type="spellStart"/>
      <w:r>
        <w:t>geobodies</w:t>
      </w:r>
      <w:proofErr w:type="spellEnd"/>
      <w:r>
        <w:t xml:space="preserve"> into a single "interpreted" upthrown or downthrown reservoir </w:t>
      </w:r>
      <w:proofErr w:type="spellStart"/>
      <w:r>
        <w:t>geobody</w:t>
      </w:r>
      <w:proofErr w:type="spellEnd"/>
      <w:r>
        <w:t xml:space="preserve"> is an interpretive decision made by the geoscientist, not an automatic output of the classifier.</w:t>
      </w:r>
    </w:p>
    <w:p w14:paraId="6418D7D1" w14:textId="77777777" w:rsidR="005A788A" w:rsidRDefault="009A3CC4">
      <w:pPr>
        <w:pStyle w:val="Heading2"/>
        <w:spacing w:before="320" w:after="140"/>
      </w:pPr>
      <w:r>
        <w:rPr>
          <w:rFonts w:ascii="Noto Sans Semibold" w:eastAsia="Noto Sans Semibold" w:hAnsi="Noto Sans Semibold" w:cs="Noto Sans Semibold"/>
          <w:b/>
          <w:bCs/>
          <w:color w:val="0080A8"/>
          <w:sz w:val="30"/>
          <w:szCs w:val="30"/>
        </w:rPr>
        <w:t>Summary</w:t>
      </w:r>
    </w:p>
    <w:p w14:paraId="281C4950" w14:textId="77777777" w:rsidR="005A788A" w:rsidRDefault="009A3CC4">
      <w:pPr>
        <w:spacing w:after="160"/>
      </w:pPr>
      <w:r>
        <w:t xml:space="preserve">This session covered different situations in which natural clusters are broken down and assigned to neurons, illustrating the range of possible outcomes when the number of neurons does not exactly match the number of true natural clusters. It also covered the different situations in which </w:t>
      </w:r>
      <w:proofErr w:type="spellStart"/>
      <w:r>
        <w:t>geobodies</w:t>
      </w:r>
      <w:proofErr w:type="spellEnd"/>
      <w:r>
        <w:t xml:space="preserve"> are created, and how several of these situations, such as a single neuron owning a cluster that represents only a portion of a larger </w:t>
      </w:r>
      <w:proofErr w:type="spellStart"/>
      <w:r>
        <w:t>geobody</w:t>
      </w:r>
      <w:proofErr w:type="spellEnd"/>
      <w:r>
        <w:t xml:space="preserve">, require the knowledge and judgment of a geoscientist to determine their meaning and relevance. Ultimately, the computer produces </w:t>
      </w:r>
      <w:r>
        <w:lastRenderedPageBreak/>
        <w:t xml:space="preserve">candidate </w:t>
      </w:r>
      <w:proofErr w:type="spellStart"/>
      <w:r>
        <w:t>geobodies</w:t>
      </w:r>
      <w:proofErr w:type="spellEnd"/>
      <w:r>
        <w:t xml:space="preserve">; it remains the interpreter's role to determine which of those </w:t>
      </w:r>
      <w:proofErr w:type="spellStart"/>
      <w:r>
        <w:t>geobodies</w:t>
      </w:r>
      <w:proofErr w:type="spellEnd"/>
      <w:r>
        <w:t xml:space="preserve"> are </w:t>
      </w:r>
      <w:proofErr w:type="gramStart"/>
      <w:r>
        <w:t>actually important</w:t>
      </w:r>
      <w:proofErr w:type="gramEnd"/>
      <w:r>
        <w:t xml:space="preserve"> to the reservoir being studied.</w:t>
      </w:r>
    </w:p>
    <w:sectPr w:rsidR="005A788A">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6FDCD" w14:textId="77777777" w:rsidR="009A3CC4" w:rsidRDefault="009A3CC4">
      <w:r>
        <w:separator/>
      </w:r>
    </w:p>
  </w:endnote>
  <w:endnote w:type="continuationSeparator" w:id="0">
    <w:p w14:paraId="119447E2" w14:textId="77777777" w:rsidR="009A3CC4" w:rsidRDefault="009A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F87F" w14:textId="77777777" w:rsidR="005A788A" w:rsidRDefault="009A3CC4">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346E06">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C091C" w14:textId="77777777" w:rsidR="009A3CC4" w:rsidRDefault="009A3CC4">
      <w:r>
        <w:separator/>
      </w:r>
    </w:p>
  </w:footnote>
  <w:footnote w:type="continuationSeparator" w:id="0">
    <w:p w14:paraId="66D2E5A9" w14:textId="77777777" w:rsidR="009A3CC4" w:rsidRDefault="009A3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AD34E" w14:textId="77777777" w:rsidR="005A788A" w:rsidRDefault="009A3CC4">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C1A2B"/>
    <w:multiLevelType w:val="hybridMultilevel"/>
    <w:tmpl w:val="12EA0228"/>
    <w:lvl w:ilvl="0" w:tplc="FB023AD4">
      <w:start w:val="1"/>
      <w:numFmt w:val="bullet"/>
      <w:lvlText w:val="●"/>
      <w:lvlJc w:val="left"/>
      <w:pPr>
        <w:ind w:left="720" w:hanging="360"/>
      </w:pPr>
    </w:lvl>
    <w:lvl w:ilvl="1" w:tplc="2E0E476C">
      <w:start w:val="1"/>
      <w:numFmt w:val="bullet"/>
      <w:lvlText w:val="○"/>
      <w:lvlJc w:val="left"/>
      <w:pPr>
        <w:ind w:left="1440" w:hanging="360"/>
      </w:pPr>
    </w:lvl>
    <w:lvl w:ilvl="2" w:tplc="5C92A9D6">
      <w:start w:val="1"/>
      <w:numFmt w:val="bullet"/>
      <w:lvlText w:val="■"/>
      <w:lvlJc w:val="left"/>
      <w:pPr>
        <w:ind w:left="2160" w:hanging="360"/>
      </w:pPr>
    </w:lvl>
    <w:lvl w:ilvl="3" w:tplc="0598EBF8">
      <w:start w:val="1"/>
      <w:numFmt w:val="bullet"/>
      <w:lvlText w:val="●"/>
      <w:lvlJc w:val="left"/>
      <w:pPr>
        <w:ind w:left="2880" w:hanging="360"/>
      </w:pPr>
    </w:lvl>
    <w:lvl w:ilvl="4" w:tplc="29C24F36">
      <w:start w:val="1"/>
      <w:numFmt w:val="bullet"/>
      <w:lvlText w:val="○"/>
      <w:lvlJc w:val="left"/>
      <w:pPr>
        <w:ind w:left="3600" w:hanging="360"/>
      </w:pPr>
    </w:lvl>
    <w:lvl w:ilvl="5" w:tplc="43765E9C">
      <w:start w:val="1"/>
      <w:numFmt w:val="bullet"/>
      <w:lvlText w:val="■"/>
      <w:lvlJc w:val="left"/>
      <w:pPr>
        <w:ind w:left="4320" w:hanging="360"/>
      </w:pPr>
    </w:lvl>
    <w:lvl w:ilvl="6" w:tplc="0BD65BA2">
      <w:start w:val="1"/>
      <w:numFmt w:val="bullet"/>
      <w:lvlText w:val="●"/>
      <w:lvlJc w:val="left"/>
      <w:pPr>
        <w:ind w:left="5040" w:hanging="360"/>
      </w:pPr>
    </w:lvl>
    <w:lvl w:ilvl="7" w:tplc="E7D2E02C">
      <w:start w:val="1"/>
      <w:numFmt w:val="bullet"/>
      <w:lvlText w:val="●"/>
      <w:lvlJc w:val="left"/>
      <w:pPr>
        <w:ind w:left="5760" w:hanging="360"/>
      </w:pPr>
    </w:lvl>
    <w:lvl w:ilvl="8" w:tplc="7468174A">
      <w:start w:val="1"/>
      <w:numFmt w:val="bullet"/>
      <w:lvlText w:val="●"/>
      <w:lvlJc w:val="left"/>
      <w:pPr>
        <w:ind w:left="6480" w:hanging="360"/>
      </w:pPr>
    </w:lvl>
  </w:abstractNum>
  <w:abstractNum w:abstractNumId="1" w15:restartNumberingAfterBreak="0">
    <w:nsid w:val="5C847921"/>
    <w:multiLevelType w:val="hybridMultilevel"/>
    <w:tmpl w:val="7C5C6D38"/>
    <w:lvl w:ilvl="0" w:tplc="891ECF78">
      <w:start w:val="1"/>
      <w:numFmt w:val="decimal"/>
      <w:lvlText w:val="%1."/>
      <w:lvlJc w:val="left"/>
      <w:pPr>
        <w:ind w:left="460" w:hanging="260"/>
      </w:pPr>
    </w:lvl>
    <w:lvl w:ilvl="1" w:tplc="B5481A58">
      <w:numFmt w:val="decimal"/>
      <w:lvlText w:val=""/>
      <w:lvlJc w:val="left"/>
    </w:lvl>
    <w:lvl w:ilvl="2" w:tplc="F25069B6">
      <w:numFmt w:val="decimal"/>
      <w:lvlText w:val=""/>
      <w:lvlJc w:val="left"/>
    </w:lvl>
    <w:lvl w:ilvl="3" w:tplc="0C70663A">
      <w:numFmt w:val="decimal"/>
      <w:lvlText w:val=""/>
      <w:lvlJc w:val="left"/>
    </w:lvl>
    <w:lvl w:ilvl="4" w:tplc="1F0C53F0">
      <w:numFmt w:val="decimal"/>
      <w:lvlText w:val=""/>
      <w:lvlJc w:val="left"/>
    </w:lvl>
    <w:lvl w:ilvl="5" w:tplc="76FC0C6E">
      <w:numFmt w:val="decimal"/>
      <w:lvlText w:val=""/>
      <w:lvlJc w:val="left"/>
    </w:lvl>
    <w:lvl w:ilvl="6" w:tplc="36BE8688">
      <w:numFmt w:val="decimal"/>
      <w:lvlText w:val=""/>
      <w:lvlJc w:val="left"/>
    </w:lvl>
    <w:lvl w:ilvl="7" w:tplc="971ECC7A">
      <w:numFmt w:val="decimal"/>
      <w:lvlText w:val=""/>
      <w:lvlJc w:val="left"/>
    </w:lvl>
    <w:lvl w:ilvl="8" w:tplc="FAB6DF5C">
      <w:numFmt w:val="decimal"/>
      <w:lvlText w:val=""/>
      <w:lvlJc w:val="left"/>
    </w:lvl>
  </w:abstractNum>
  <w:num w:numId="1" w16cid:durableId="1993173793">
    <w:abstractNumId w:val="0"/>
    <w:lvlOverride w:ilvl="0">
      <w:startOverride w:val="1"/>
    </w:lvlOverride>
  </w:num>
  <w:num w:numId="2" w16cid:durableId="202088420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88A"/>
    <w:rsid w:val="000B1CE4"/>
    <w:rsid w:val="00346E06"/>
    <w:rsid w:val="005A788A"/>
    <w:rsid w:val="009A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F8D43"/>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6B8644-9730-4DCF-BAEE-7CE68EB4AC30}"/>
</file>

<file path=customXml/itemProps2.xml><?xml version="1.0" encoding="utf-8"?>
<ds:datastoreItem xmlns:ds="http://schemas.openxmlformats.org/officeDocument/2006/customXml" ds:itemID="{58493F4F-166B-43B5-AA4B-F61027A79AEB}"/>
</file>

<file path=customXml/itemProps3.xml><?xml version="1.0" encoding="utf-8"?>
<ds:datastoreItem xmlns:ds="http://schemas.openxmlformats.org/officeDocument/2006/customXml" ds:itemID="{698C65B3-3785-4AA0-8EF9-591F6658F288}"/>
</file>

<file path=docProps/app.xml><?xml version="1.0" encoding="utf-8"?>
<Properties xmlns="http://schemas.openxmlformats.org/officeDocument/2006/extended-properties" xmlns:vt="http://schemas.openxmlformats.org/officeDocument/2006/docPropsVTypes">
  <Template>Normal.dotm</Template>
  <TotalTime>2</TotalTime>
  <Pages>4</Pages>
  <Words>938</Words>
  <Characters>5350</Characters>
  <Application>Microsoft Office Word</Application>
  <DocSecurity>0</DocSecurity>
  <Lines>44</Lines>
  <Paragraphs>12</Paragraphs>
  <ScaleCrop>false</ScaleCrop>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2026-08-05T19:57:00Z</dcterms:created>
  <dcterms:modified xsi:type="dcterms:W3CDTF">2026-08-05T19:57:00Z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