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B5C4D" w14:textId="77777777" w:rsidR="00F5058D" w:rsidRDefault="00794903">
      <w:pPr>
        <w:spacing w:before="400" w:after="500"/>
      </w:pPr>
      <w:r>
        <w:rPr>
          <w:noProof/>
        </w:rPr>
        <w:drawing>
          <wp:inline distT="0" distB="0" distL="0" distR="0" wp14:anchorId="329A4841" wp14:editId="63D2A7C6">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7010BDD4" w14:textId="77777777" w:rsidR="00F5058D" w:rsidRDefault="00794903">
      <w:pPr>
        <w:spacing w:before="800" w:after="120"/>
      </w:pPr>
      <w:r>
        <w:rPr>
          <w:rFonts w:ascii="Noto Sans Semibold" w:eastAsia="Noto Sans Semibold" w:hAnsi="Noto Sans Semibold" w:cs="Noto Sans Semibold"/>
          <w:b/>
          <w:bCs/>
          <w:color w:val="005563"/>
          <w:sz w:val="56"/>
          <w:szCs w:val="56"/>
        </w:rPr>
        <w:t>Machine Learning Interpretation and Efficiency, Part 1</w:t>
      </w:r>
    </w:p>
    <w:p w14:paraId="4D4F4F46" w14:textId="77777777" w:rsidR="00F5058D" w:rsidRDefault="00F5058D">
      <w:pPr>
        <w:pBdr>
          <w:bottom w:val="single" w:sz="18" w:space="8" w:color="F7941D"/>
        </w:pBdr>
        <w:spacing w:after="300"/>
      </w:pPr>
    </w:p>
    <w:p w14:paraId="76A10193" w14:textId="77777777" w:rsidR="00F5058D" w:rsidRDefault="00794903">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19C659BE" w14:textId="77777777" w:rsidR="00F5058D" w:rsidRDefault="00794903">
      <w:r>
        <w:br w:type="page"/>
      </w:r>
    </w:p>
    <w:p w14:paraId="696D92E1"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2BA8BF2B" w14:textId="77777777" w:rsidR="00F5058D" w:rsidRDefault="00794903">
      <w:pPr>
        <w:spacing w:after="160"/>
      </w:pPr>
      <w:r>
        <w:t xml:space="preserve">This session discusses how developments in machine learning technology are affecting the industry. It covers different workflow functions in which machine learning enhances the efficiency of the </w:t>
      </w:r>
      <w:proofErr w:type="gramStart"/>
      <w:r>
        <w:t>interpreter, and</w:t>
      </w:r>
      <w:proofErr w:type="gramEnd"/>
      <w:r>
        <w:t xml:space="preserve"> describes one of the key outputs of a SOM that allows interpreters to see stratigraphic characteristics within seismic data that are not easily seen otherwise.</w:t>
      </w:r>
    </w:p>
    <w:p w14:paraId="03BAB103"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Machine Learning for Efficiency</w:t>
      </w:r>
    </w:p>
    <w:p w14:paraId="2C257225" w14:textId="77777777" w:rsidR="00F5058D" w:rsidRDefault="00794903">
      <w:pPr>
        <w:spacing w:after="160"/>
      </w:pPr>
      <w:r>
        <w:t xml:space="preserve">The industry is now in what can be described as a fourth age of industrialization, the age of machine learning, and within seismic interpretation, machine learning is improving efficiency by replacing tedious tasks. Interpretation tasks commonly identified as strong candidates for efficiency improvement </w:t>
      </w:r>
      <w:proofErr w:type="gramStart"/>
      <w:r>
        <w:t>include:</w:t>
      </w:r>
      <w:proofErr w:type="gramEnd"/>
      <w:r>
        <w:t xml:space="preserve"> fault surface picking, horizon auto-picking, first-break picking, seismic-to-well ties, water bottom picking, salt detection and geometry (both top and bottom), detecting unconventional sweet spots, lithofacies classification, delineating limits of hydrocarbon accumulation, tracking reservoir volumes, and seismic stratigraphy.</w:t>
      </w:r>
    </w:p>
    <w:p w14:paraId="3398B5CE"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Machine Learning for Discovery</w:t>
      </w:r>
    </w:p>
    <w:p w14:paraId="04837ACE" w14:textId="77777777" w:rsidR="00F5058D" w:rsidRDefault="00794903">
      <w:pPr>
        <w:spacing w:after="160"/>
      </w:pPr>
      <w:r>
        <w:t xml:space="preserve">Separate from efficiency, machine learning can also be used for discovery, a fundamentally different goal. Exploration and exploitation (including unconventional reservoir exploitation) require </w:t>
      </w:r>
      <w:proofErr w:type="gramStart"/>
      <w:r>
        <w:t>a professional</w:t>
      </w:r>
      <w:proofErr w:type="gramEnd"/>
      <w:r>
        <w:t xml:space="preserve"> staff that can use machine learning tools to discover new things in the data that were not previously possible to identify by hand. This is the promise of big data: using diverse, multi-dimensional data collections, including seismic data, to uncover new information.</w:t>
      </w:r>
    </w:p>
    <w:p w14:paraId="430AD194" w14:textId="77777777" w:rsidR="00F5058D" w:rsidRDefault="00794903">
      <w:pPr>
        <w:spacing w:after="160"/>
      </w:pPr>
      <w:r>
        <w:t xml:space="preserve">Potentially fruitful areas for new </w:t>
      </w:r>
      <w:proofErr w:type="gramStart"/>
      <w:r>
        <w:t>discovery</w:t>
      </w:r>
      <w:proofErr w:type="gramEnd"/>
      <w:r>
        <w:t xml:space="preserve"> include:</w:t>
      </w:r>
    </w:p>
    <w:p w14:paraId="11170312" w14:textId="77777777" w:rsidR="00F5058D" w:rsidRDefault="00794903">
      <w:pPr>
        <w:pStyle w:val="ListParagraph"/>
        <w:numPr>
          <w:ilvl w:val="0"/>
          <w:numId w:val="1"/>
        </w:numPr>
        <w:spacing w:after="80"/>
      </w:pPr>
      <w:r>
        <w:t>Details in seismic data that are difficult for the human eye to appreciate directly.</w:t>
      </w:r>
    </w:p>
    <w:p w14:paraId="3ADD7705" w14:textId="77777777" w:rsidR="00F5058D" w:rsidRDefault="00794903">
      <w:pPr>
        <w:pStyle w:val="ListParagraph"/>
        <w:numPr>
          <w:ilvl w:val="0"/>
          <w:numId w:val="1"/>
        </w:numPr>
        <w:spacing w:after="80"/>
      </w:pPr>
      <w:r>
        <w:t>The ability to simultaneously view several attributes at once.</w:t>
      </w:r>
    </w:p>
    <w:p w14:paraId="5D2BDE78" w14:textId="77777777" w:rsidR="00F5058D" w:rsidRDefault="00794903">
      <w:pPr>
        <w:pStyle w:val="ListParagraph"/>
        <w:numPr>
          <w:ilvl w:val="0"/>
          <w:numId w:val="1"/>
        </w:numPr>
        <w:spacing w:after="80"/>
      </w:pPr>
      <w:r>
        <w:t>The ability to better quantify interpretive answers, which is particularly valuable to engineers (whose thinking tends to favor predictable, well-managed processes) and to decision-makers evaluating risk and committing capital.</w:t>
      </w:r>
    </w:p>
    <w:p w14:paraId="770291C2" w14:textId="77777777" w:rsidR="00F5058D" w:rsidRDefault="00794903">
      <w:pPr>
        <w:pStyle w:val="ListParagraph"/>
        <w:numPr>
          <w:ilvl w:val="0"/>
          <w:numId w:val="1"/>
        </w:numPr>
        <w:spacing w:after="80"/>
      </w:pPr>
      <w:r>
        <w:t xml:space="preserve">The ability to better </w:t>
      </w:r>
      <w:proofErr w:type="spellStart"/>
      <w:r>
        <w:t>assess</w:t>
      </w:r>
      <w:proofErr w:type="spellEnd"/>
      <w:r>
        <w:t xml:space="preserve"> and communicate risk associated with predictions and recommendations.</w:t>
      </w:r>
    </w:p>
    <w:p w14:paraId="389EBC75"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A New Interpretation Workflow</w:t>
      </w:r>
    </w:p>
    <w:p w14:paraId="3CB0AD72" w14:textId="77777777" w:rsidR="00F5058D" w:rsidRDefault="00794903">
      <w:pPr>
        <w:spacing w:after="160"/>
      </w:pPr>
      <w:r>
        <w:t>A structured interpretation workflow proceeds from broad, high-level questions down to specific technical choices:</w:t>
      </w:r>
    </w:p>
    <w:p w14:paraId="60FAB931" w14:textId="77777777" w:rsidR="00F5058D" w:rsidRDefault="00794903">
      <w:pPr>
        <w:pStyle w:val="ListParagraph"/>
        <w:numPr>
          <w:ilvl w:val="0"/>
          <w:numId w:val="2"/>
        </w:numPr>
        <w:spacing w:after="80"/>
      </w:pPr>
      <w:r>
        <w:rPr>
          <w:b/>
          <w:bCs/>
          <w:color w:val="005563"/>
        </w:rPr>
        <w:t>Big-picture questions:</w:t>
      </w:r>
      <w:r>
        <w:t xml:space="preserve"> Why are we exploring, appraising, or developing this area? Is this a well-explored basin, or fresh territory?</w:t>
      </w:r>
    </w:p>
    <w:p w14:paraId="0D9F7148" w14:textId="77777777" w:rsidR="00F5058D" w:rsidRDefault="00794903">
      <w:pPr>
        <w:pStyle w:val="ListParagraph"/>
        <w:numPr>
          <w:ilvl w:val="0"/>
          <w:numId w:val="2"/>
        </w:numPr>
        <w:spacing w:after="80"/>
      </w:pPr>
      <w:r>
        <w:rPr>
          <w:b/>
          <w:bCs/>
          <w:color w:val="005563"/>
        </w:rPr>
        <w:t>More specific context:</w:t>
      </w:r>
      <w:r>
        <w:t xml:space="preserve"> Are there new wells in the area? Are there lease-related time pressures?</w:t>
      </w:r>
    </w:p>
    <w:p w14:paraId="38C9A0E3" w14:textId="77777777" w:rsidR="00F5058D" w:rsidRDefault="00794903">
      <w:pPr>
        <w:pStyle w:val="ListParagraph"/>
        <w:numPr>
          <w:ilvl w:val="0"/>
          <w:numId w:val="2"/>
        </w:numPr>
        <w:spacing w:after="80"/>
      </w:pPr>
      <w:r>
        <w:rPr>
          <w:b/>
          <w:bCs/>
          <w:color w:val="005563"/>
        </w:rPr>
        <w:t>Target definition:</w:t>
      </w:r>
      <w:r>
        <w:t xml:space="preserve"> What ages, formations, and geologic features are we looking for? What is the basic geologic setting, and is it oil-prone or gas-prone?</w:t>
      </w:r>
    </w:p>
    <w:p w14:paraId="2A2DF41E" w14:textId="77777777" w:rsidR="00F5058D" w:rsidRDefault="00794903">
      <w:pPr>
        <w:pStyle w:val="ListParagraph"/>
        <w:numPr>
          <w:ilvl w:val="0"/>
          <w:numId w:val="2"/>
        </w:numPr>
        <w:spacing w:after="80"/>
      </w:pPr>
      <w:r>
        <w:rPr>
          <w:b/>
          <w:bCs/>
          <w:color w:val="005563"/>
        </w:rPr>
        <w:t>Attribute and modeling choices:</w:t>
      </w:r>
      <w:r>
        <w:t xml:space="preserve"> What attributes are appropriate for the geologic question at hand (informing a PCA run)? For example, are we targeting Class 2 or Class 2p AVO </w:t>
      </w:r>
      <w:r>
        <w:lastRenderedPageBreak/>
        <w:t>anomalies? Is fault control relevant? Are we detecting features, or specifically their edges? What model information is needed to build the attribute selection list?</w:t>
      </w:r>
    </w:p>
    <w:p w14:paraId="3FFAD999" w14:textId="77777777" w:rsidR="00F5058D" w:rsidRDefault="00794903">
      <w:pPr>
        <w:pStyle w:val="ListParagraph"/>
        <w:numPr>
          <w:ilvl w:val="0"/>
          <w:numId w:val="2"/>
        </w:numPr>
        <w:spacing w:after="80"/>
      </w:pPr>
      <w:r>
        <w:rPr>
          <w:b/>
          <w:bCs/>
          <w:color w:val="005563"/>
        </w:rPr>
        <w:t>SOM configuration:</w:t>
      </w:r>
      <w:r>
        <w:t xml:space="preserve"> What neuron topology is appropriate? What training rules will govern the selection (and possible refinement) of training samples?</w:t>
      </w:r>
    </w:p>
    <w:p w14:paraId="157A8CFD" w14:textId="77777777" w:rsidR="00F5058D" w:rsidRDefault="00794903">
      <w:pPr>
        <w:pStyle w:val="ListParagraph"/>
        <w:numPr>
          <w:ilvl w:val="0"/>
          <w:numId w:val="2"/>
        </w:numPr>
        <w:spacing w:after="80"/>
      </w:pPr>
      <w:r>
        <w:rPr>
          <w:b/>
          <w:bCs/>
          <w:color w:val="005563"/>
        </w:rPr>
        <w:t>Result evaluation:</w:t>
      </w:r>
      <w:r>
        <w:t xml:space="preserve"> Do the resulting natural clusters yield useful </w:t>
      </w:r>
      <w:proofErr w:type="spellStart"/>
      <w:r>
        <w:t>geobodies</w:t>
      </w:r>
      <w:proofErr w:type="spellEnd"/>
      <w:r>
        <w:t xml:space="preserve">? Do these </w:t>
      </w:r>
      <w:proofErr w:type="spellStart"/>
      <w:r>
        <w:t>geobodies</w:t>
      </w:r>
      <w:proofErr w:type="spellEnd"/>
      <w:r>
        <w:t xml:space="preserve"> fit within the current geologic model, or suggest new possibilities? Is a different number of neurons needed to get a better picture, both at the broad level and the level of important details? If any results genuinely add to the current model, that is good justification for continuing to iterate the process.</w:t>
      </w:r>
    </w:p>
    <w:p w14:paraId="197F878D" w14:textId="77777777" w:rsidR="00F5058D" w:rsidRDefault="00794903">
      <w:pPr>
        <w:spacing w:after="160"/>
      </w:pPr>
      <w:r>
        <w:t xml:space="preserve">This overall process centers on three core concepts: multi-attribute samples, natural clusters (what they are and how to find them), and </w:t>
      </w:r>
      <w:proofErr w:type="spellStart"/>
      <w:r>
        <w:t>geobodies</w:t>
      </w:r>
      <w:proofErr w:type="spellEnd"/>
      <w:r>
        <w:t xml:space="preserve"> (what machine learning ultimately delivers from those natural clusters). In practice, what matters is not "I ran a SOM," but which specific machine learning approach delivered useful </w:t>
      </w:r>
      <w:proofErr w:type="spellStart"/>
      <w:r>
        <w:t>geobodies</w:t>
      </w:r>
      <w:proofErr w:type="spellEnd"/>
      <w:r>
        <w:t xml:space="preserve"> worth interpreting.</w:t>
      </w:r>
    </w:p>
    <w:p w14:paraId="4C7FE432"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Defining "</w:t>
      </w:r>
      <w:proofErr w:type="spellStart"/>
      <w:r>
        <w:rPr>
          <w:rFonts w:ascii="Noto Sans Semibold" w:eastAsia="Noto Sans Semibold" w:hAnsi="Noto Sans Semibold" w:cs="Noto Sans Semibold"/>
          <w:b/>
          <w:bCs/>
          <w:color w:val="0080A8"/>
          <w:sz w:val="30"/>
          <w:szCs w:val="30"/>
        </w:rPr>
        <w:t>Geobody</w:t>
      </w:r>
      <w:proofErr w:type="spellEnd"/>
      <w:r>
        <w:rPr>
          <w:rFonts w:ascii="Noto Sans Semibold" w:eastAsia="Noto Sans Semibold" w:hAnsi="Noto Sans Semibold" w:cs="Noto Sans Semibold"/>
          <w:b/>
          <w:bCs/>
          <w:color w:val="0080A8"/>
          <w:sz w:val="30"/>
          <w:szCs w:val="30"/>
        </w:rPr>
        <w:t>"</w:t>
      </w:r>
    </w:p>
    <w:p w14:paraId="61621FF0" w14:textId="77777777" w:rsidR="00F5058D" w:rsidRDefault="00794903">
      <w:pPr>
        <w:spacing w:after="160"/>
      </w:pPr>
      <w:r>
        <w:t xml:space="preserve">Rather than relying on any single external authority's definition, this course defines </w:t>
      </w:r>
      <w:proofErr w:type="spellStart"/>
      <w:r>
        <w:t>geobodies</w:t>
      </w:r>
      <w:proofErr w:type="spellEnd"/>
      <w:r>
        <w:t xml:space="preserve"> on two levels:</w:t>
      </w:r>
    </w:p>
    <w:p w14:paraId="0C7028DC" w14:textId="77777777" w:rsidR="00F5058D" w:rsidRDefault="00794903">
      <w:pPr>
        <w:pStyle w:val="ListParagraph"/>
        <w:numPr>
          <w:ilvl w:val="0"/>
          <w:numId w:val="1"/>
        </w:numPr>
        <w:spacing w:after="80"/>
      </w:pPr>
      <w:r>
        <w:rPr>
          <w:b/>
          <w:bCs/>
          <w:color w:val="005563"/>
        </w:rPr>
        <w:t xml:space="preserve">Simple </w:t>
      </w:r>
      <w:proofErr w:type="spellStart"/>
      <w:r>
        <w:rPr>
          <w:b/>
          <w:bCs/>
          <w:color w:val="005563"/>
        </w:rPr>
        <w:t>geobodies</w:t>
      </w:r>
      <w:proofErr w:type="spellEnd"/>
      <w:r>
        <w:rPr>
          <w:b/>
          <w:bCs/>
          <w:color w:val="005563"/>
        </w:rPr>
        <w:t>:</w:t>
      </w:r>
      <w:r>
        <w:t xml:space="preserve"> auto-picked directly in attribute space by a classifier, without further human refinement.</w:t>
      </w:r>
    </w:p>
    <w:p w14:paraId="45DC3E43" w14:textId="77777777" w:rsidR="00F5058D" w:rsidRDefault="00794903">
      <w:pPr>
        <w:pStyle w:val="ListParagraph"/>
        <w:numPr>
          <w:ilvl w:val="0"/>
          <w:numId w:val="1"/>
        </w:numPr>
        <w:spacing w:after="80"/>
      </w:pPr>
      <w:r>
        <w:rPr>
          <w:b/>
          <w:bCs/>
          <w:color w:val="005563"/>
        </w:rPr>
        <w:t xml:space="preserve">Interpreted </w:t>
      </w:r>
      <w:proofErr w:type="spellStart"/>
      <w:r>
        <w:rPr>
          <w:b/>
          <w:bCs/>
          <w:color w:val="005563"/>
        </w:rPr>
        <w:t>geobodies</w:t>
      </w:r>
      <w:proofErr w:type="spellEnd"/>
      <w:r>
        <w:rPr>
          <w:b/>
          <w:bCs/>
          <w:color w:val="005563"/>
        </w:rPr>
        <w:t>:</w:t>
      </w:r>
      <w:r>
        <w:t xml:space="preserve"> produced by a semi-automatic process that combines simple </w:t>
      </w:r>
      <w:proofErr w:type="spellStart"/>
      <w:r>
        <w:t>geobodies</w:t>
      </w:r>
      <w:proofErr w:type="spellEnd"/>
      <w:r>
        <w:t xml:space="preserve"> according to geologically based rules, customized by the interpreter.</w:t>
      </w:r>
    </w:p>
    <w:p w14:paraId="2D4D6EFA" w14:textId="77777777" w:rsidR="00F5058D" w:rsidRDefault="00794903">
      <w:pPr>
        <w:spacing w:after="160"/>
      </w:pPr>
      <w:r>
        <w:t xml:space="preserve">A SOM result by itself yields only simple </w:t>
      </w:r>
      <w:proofErr w:type="spellStart"/>
      <w:r>
        <w:t>geobodies</w:t>
      </w:r>
      <w:proofErr w:type="spellEnd"/>
      <w:r>
        <w:t xml:space="preserve">, some good, some poor, and some ambiguous; the interpretive step of evaluating and combining simple </w:t>
      </w:r>
      <w:proofErr w:type="spellStart"/>
      <w:r>
        <w:t>geobodies</w:t>
      </w:r>
      <w:proofErr w:type="spellEnd"/>
      <w:r>
        <w:t xml:space="preserve"> into meaningful larger features is where true interpretation occurs.</w:t>
      </w:r>
    </w:p>
    <w:p w14:paraId="0EA7301C"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Working Below Tuning Thickness</w:t>
      </w:r>
    </w:p>
    <w:p w14:paraId="3EED59FE" w14:textId="77777777" w:rsidR="00F5058D" w:rsidRDefault="00794903">
      <w:pPr>
        <w:spacing w:after="160"/>
      </w:pPr>
      <w:r>
        <w:t>Tuning thickness is a little under a quarter of a wavelength; the ability to resolve stratigraphic detail below this level using multi-attribute methods has previously been demonstrated (referencing a 2015 interpretation article) and was shown earlier in this course. Fundamentally, machine learning is accomplishing an inversion process, taking data from attribute space and delivering something displayable back in survey space. High-quality natural clusters, meaning tight, dense regions of information with h</w:t>
      </w:r>
      <w:r>
        <w:t>igh density, are desirable, since they give the classifier the least amount of work to do and produce the best results back in survey space.</w:t>
      </w:r>
    </w:p>
    <w:p w14:paraId="32A24B7A" w14:textId="77777777" w:rsidR="00F5058D" w:rsidRDefault="00794903">
      <w:pPr>
        <w:spacing w:after="160"/>
      </w:pPr>
      <w:r>
        <w:t>Multi-attribute analysis is fundamentally based on individual samples in time or depth. If two adjacent time or depth samples have different combinations of attribute values, they will fall into different natural clusters and be classified by different winning neurons; this is a simple but important consequence of how the classification process works.</w:t>
      </w:r>
    </w:p>
    <w:p w14:paraId="173657DF"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SOM as a Natural Cluster Hunter</w:t>
      </w:r>
    </w:p>
    <w:p w14:paraId="1AD5C39B" w14:textId="77777777" w:rsidR="00F5058D" w:rsidRDefault="00794903">
      <w:pPr>
        <w:spacing w:after="160"/>
      </w:pPr>
      <w:r>
        <w:t xml:space="preserve">SOM is described as a robust natural cluster hunter. Early researchers (Terry Tanner, Sven Trichtel, and others working roughly a decade or more ago) recognized the value of applying self-organizing maps developed for unsupervised neural network research to this problem. These </w:t>
      </w:r>
      <w:proofErr w:type="spellStart"/>
      <w:r>
        <w:lastRenderedPageBreak/>
        <w:t>geobody</w:t>
      </w:r>
      <w:proofErr w:type="spellEnd"/>
      <w:r>
        <w:t>-building tools work effectively in high-dimensional data spaces that are difficult for humans to directly appreciate, which is part of their value.</w:t>
      </w:r>
    </w:p>
    <w:p w14:paraId="15BDD0A0" w14:textId="77777777" w:rsidR="00F5058D" w:rsidRDefault="00794903">
      <w:pPr>
        <w:spacing w:after="160"/>
      </w:pPr>
      <w:r>
        <w:t>As discussed previously, machine learning can be applied for efficiency (replacing repetitive interpretation work) or for discovery (finding things in the data that would be difficult or impossible for a human to find directly), and SOM's core strength lies in the discovery use case.</w:t>
      </w:r>
    </w:p>
    <w:p w14:paraId="2DF95042" w14:textId="77777777" w:rsidR="00F5058D" w:rsidRDefault="00794903">
      <w:pPr>
        <w:spacing w:after="160"/>
      </w:pPr>
      <w:r>
        <w:t xml:space="preserve">SOM trains using a neuron topology network across a series of training epochs, with relatively few and relatively insensitive training parameters. The resulting winning neuron set identifies </w:t>
      </w:r>
      <w:proofErr w:type="spellStart"/>
      <w:r>
        <w:t>geobodies</w:t>
      </w:r>
      <w:proofErr w:type="spellEnd"/>
      <w:r>
        <w:t xml:space="preserve">, provided the attribute selection list is well suited to the illumination task at hand. If the attribute selection list is poorly chosen or inconsistent with the geologic question being asked, the results will not be meaningful; the attribute selection list must be suitable for the specific illumination task, since different classification goals (for example, absorption-related classification vs. fluid-contact classification, as shown in the Roden, </w:t>
      </w:r>
      <w:proofErr w:type="spellStart"/>
      <w:r>
        <w:t>Sacrey</w:t>
      </w:r>
      <w:proofErr w:type="spellEnd"/>
      <w:r>
        <w:t>, and Smith paper) call for different attri</w:t>
      </w:r>
      <w:r>
        <w:t>bute lists.</w:t>
      </w:r>
    </w:p>
    <w:p w14:paraId="5088CE6A"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 xml:space="preserve">Natural Clusters as Consolidators of </w:t>
      </w:r>
      <w:proofErr w:type="spellStart"/>
      <w:r>
        <w:rPr>
          <w:rFonts w:ascii="Noto Sans Semibold" w:eastAsia="Noto Sans Semibold" w:hAnsi="Noto Sans Semibold" w:cs="Noto Sans Semibold"/>
          <w:b/>
          <w:bCs/>
          <w:color w:val="0080A8"/>
          <w:sz w:val="30"/>
          <w:szCs w:val="30"/>
        </w:rPr>
        <w:t>Geobodies</w:t>
      </w:r>
      <w:proofErr w:type="spellEnd"/>
    </w:p>
    <w:p w14:paraId="2B639B91" w14:textId="77777777" w:rsidR="00F5058D" w:rsidRDefault="00794903">
      <w:pPr>
        <w:spacing w:after="160"/>
      </w:pPr>
      <w:r>
        <w:t xml:space="preserve">Natural clusters act as consolidators of </w:t>
      </w:r>
      <w:proofErr w:type="spellStart"/>
      <w:r>
        <w:t>geobodies</w:t>
      </w:r>
      <w:proofErr w:type="spellEnd"/>
      <w:r>
        <w:t xml:space="preserve">: </w:t>
      </w:r>
      <w:proofErr w:type="spellStart"/>
      <w:r>
        <w:t>geobodies</w:t>
      </w:r>
      <w:proofErr w:type="spellEnd"/>
      <w:r>
        <w:t xml:space="preserve"> with similar combinations of attributes will stack in approximately the same location in attribute space, a process directly analogous to CDP stacking, except here it is </w:t>
      </w:r>
      <w:proofErr w:type="spellStart"/>
      <w:r>
        <w:t>geobodies</w:t>
      </w:r>
      <w:proofErr w:type="spellEnd"/>
      <w:r>
        <w:t xml:space="preserve"> stacking in attribute space rather than traces stacking in time. An auto-picker in attribute space then delivers the resulting information.</w:t>
      </w:r>
    </w:p>
    <w:p w14:paraId="2753C219" w14:textId="77777777" w:rsidR="00F5058D" w:rsidRDefault="00794903">
      <w:pPr>
        <w:spacing w:after="160"/>
      </w:pPr>
      <w:r>
        <w:t xml:space="preserve">Because seismic data is inherently noisy, natural clusters are statistical in nature, and SOM (like k-means) classifies every sample, including samples that are poorly fitted because they are noisy, on the fringe of a cluster, or genuinely anomalous relative to the rest of that cluster (potentially representing a distinct, smaller </w:t>
      </w:r>
      <w:proofErr w:type="spellStart"/>
      <w:r>
        <w:t>geobody</w:t>
      </w:r>
      <w:proofErr w:type="spellEnd"/>
      <w:r>
        <w:t xml:space="preserve"> that has been absorbed into a larger nearby natural cluster). This is part of the motivation for "working both sides of the fence": sometimes low-probability samples are worth investigating as anomalies, and sometimes a larger number of winning neurons is needed to resolve finer detail. In all cases, the underlying approach is to build a geologic model from </w:t>
      </w:r>
      <w:proofErr w:type="spellStart"/>
      <w:r>
        <w:t>geobodies</w:t>
      </w:r>
      <w:proofErr w:type="spellEnd"/>
      <w:r>
        <w:t xml:space="preserve"> chosen to answer specific, useful geologic questions, using the right attribute list for that purpose.</w:t>
      </w:r>
    </w:p>
    <w:p w14:paraId="534A0A4E"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Connection to Seismic Stratigraphy</w:t>
      </w:r>
    </w:p>
    <w:p w14:paraId="5A7A2847" w14:textId="77777777" w:rsidR="00F5058D" w:rsidRDefault="00794903">
      <w:pPr>
        <w:spacing w:after="160"/>
      </w:pPr>
      <w:r>
        <w:t>This approach connects directly to the foundational concept of seismic stratigraphy, first laid out in the 1977 AAPG Memoir by Mitchum, Vail, and Sangree (Exxon researchers), which introduced an entirely new way of interpreting seismic data based on depositional facies, depositional patterns, and stratigraphic units. Seismic stratigraphy consists of two parts:</w:t>
      </w:r>
    </w:p>
    <w:p w14:paraId="1B6812BF" w14:textId="77777777" w:rsidR="00F5058D" w:rsidRDefault="00794903">
      <w:pPr>
        <w:pStyle w:val="ListParagraph"/>
        <w:numPr>
          <w:ilvl w:val="0"/>
          <w:numId w:val="1"/>
        </w:numPr>
        <w:spacing w:after="80"/>
      </w:pPr>
      <w:r>
        <w:rPr>
          <w:b/>
          <w:bCs/>
          <w:color w:val="005563"/>
        </w:rPr>
        <w:t>Sequence analysis:</w:t>
      </w:r>
      <w:r>
        <w:t xml:space="preserve"> subdividing the seismic section into packets of concordant reflections (for example, the manual labeling of concordant reflections, discordant reflections, salt, and so on, used to build the CNN training buckets described in an earlier session).</w:t>
      </w:r>
    </w:p>
    <w:p w14:paraId="02A3F2E5" w14:textId="77777777" w:rsidR="00F5058D" w:rsidRDefault="00794903">
      <w:pPr>
        <w:pStyle w:val="ListParagraph"/>
        <w:numPr>
          <w:ilvl w:val="0"/>
          <w:numId w:val="1"/>
        </w:numPr>
        <w:spacing w:after="80"/>
      </w:pPr>
      <w:r>
        <w:rPr>
          <w:b/>
          <w:bCs/>
          <w:color w:val="005563"/>
        </w:rPr>
        <w:t>Seismic facies analysis:</w:t>
      </w:r>
      <w:r>
        <w:t xml:space="preserve"> interpreting environmental settings and lithofacies from the seismic data, addressing questions such as whether relative sea level was rising or falling, whether the depositional setting was transgressive, and identifying characteristics of settings such as a restricted or "frozen" basin (analogous to the Salton Sea).</w:t>
      </w:r>
    </w:p>
    <w:p w14:paraId="66A9F5EF" w14:textId="77777777" w:rsidR="00F5058D" w:rsidRDefault="00794903">
      <w:pPr>
        <w:spacing w:after="160"/>
      </w:pPr>
      <w:r>
        <w:t xml:space="preserve">Multi-attribute </w:t>
      </w:r>
      <w:proofErr w:type="spellStart"/>
      <w:r>
        <w:t>geobodies</w:t>
      </w:r>
      <w:proofErr w:type="spellEnd"/>
      <w:r>
        <w:t xml:space="preserve">, as discussed in this course, are best understood as components of seismic stratigraphy. Simple </w:t>
      </w:r>
      <w:proofErr w:type="spellStart"/>
      <w:r>
        <w:t>geobodies</w:t>
      </w:r>
      <w:proofErr w:type="spellEnd"/>
      <w:r>
        <w:t xml:space="preserve"> are auto-picked by machine learning working in attribute </w:t>
      </w:r>
      <w:r>
        <w:lastRenderedPageBreak/>
        <w:t xml:space="preserve">space; this approach works because multi-attribute vectors are being stacked in attribute space, allowing resolution finer than the quarter-wavelength limitation inherent to working with wavelets alone, since multi-attribute samples (not wavelets) are what is being classified. Interpreted </w:t>
      </w:r>
      <w:proofErr w:type="spellStart"/>
      <w:r>
        <w:t>geobodies</w:t>
      </w:r>
      <w:proofErr w:type="spellEnd"/>
      <w:r>
        <w:t xml:space="preserve"> are then constructed from simple </w:t>
      </w:r>
      <w:proofErr w:type="spellStart"/>
      <w:r>
        <w:t>geobod</w:t>
      </w:r>
      <w:r>
        <w:t>ies</w:t>
      </w:r>
      <w:proofErr w:type="spellEnd"/>
      <w:r>
        <w:t xml:space="preserve"> through hand editing and geologically based construction rules, extending seismic sequence analysis to a much finer level of stratigraphic detail than was previously achievable.</w:t>
      </w:r>
    </w:p>
    <w:p w14:paraId="214CBB41"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Computing Requirements for Machine Learning</w:t>
      </w:r>
    </w:p>
    <w:p w14:paraId="17B86689" w14:textId="77777777" w:rsidR="00F5058D" w:rsidRDefault="00794903">
      <w:pPr>
        <w:spacing w:after="160"/>
      </w:pPr>
      <w:r>
        <w:t xml:space="preserve">Machine learning calculations generally benefit from as many CPUs as are available, since most calculations, including deep learning algorithms, can be broken into parallel chunks. GPUs (graphics processing units) are advantageous for long compute </w:t>
      </w:r>
      <w:proofErr w:type="gramStart"/>
      <w:r>
        <w:t>pipelines, but</w:t>
      </w:r>
      <w:proofErr w:type="gramEnd"/>
      <w:r>
        <w:t xml:space="preserve"> carry a disadvantage in memory transfer time getting data into the GPU pipeline; GPUs are beneficial but not a full replacement for CPUs.</w:t>
      </w:r>
    </w:p>
    <w:p w14:paraId="184258E8" w14:textId="77777777" w:rsidR="00F5058D" w:rsidRDefault="00794903">
      <w:pPr>
        <w:spacing w:after="160"/>
      </w:pPr>
      <w:r>
        <w:t xml:space="preserve">Working with multiple attributes effectively means working with multiple 3D survey volumes at once (a dozen or more attributes </w:t>
      </w:r>
      <w:proofErr w:type="gramStart"/>
      <w:r>
        <w:t>is</w:t>
      </w:r>
      <w:proofErr w:type="gramEnd"/>
      <w:r>
        <w:t xml:space="preserve"> common for anyone who has worked with attributes at all), since a single attribute is rarely sufficient for addressing the range of questions an interpreter needs to answer. Attributes are generally inexpensive to compute on demand, but multi-trace attributes (which infer information across multiple traces) tend to take considerably longer to compute.</w:t>
      </w:r>
    </w:p>
    <w:p w14:paraId="44598C88" w14:textId="77777777" w:rsidR="00F5058D" w:rsidRDefault="00794903">
      <w:pPr>
        <w:spacing w:after="160"/>
      </w:pPr>
      <w:r>
        <w:t xml:space="preserve">Cloud computing offers access to essentially unlimited computing resources (for example, thousands of CPUs for a limited time), though it comes with security considerations that a company must be comfortable managing; private clouds are one option for organizations with stricter security requirements. Finally, because </w:t>
      </w:r>
      <w:proofErr w:type="spellStart"/>
      <w:r>
        <w:t>geobodies</w:t>
      </w:r>
      <w:proofErr w:type="spellEnd"/>
      <w:r>
        <w:t xml:space="preserve"> are inherently three-dimensional objects, effective 3D visualization is close to a requirement for working with this kind of interpretation output; flat, two-dimensional displays are generally inadequate.</w:t>
      </w:r>
    </w:p>
    <w:p w14:paraId="3A71057D" w14:textId="77777777" w:rsidR="00F5058D" w:rsidRDefault="00794903">
      <w:pPr>
        <w:pStyle w:val="Heading2"/>
        <w:spacing w:before="320" w:after="140"/>
      </w:pPr>
      <w:r>
        <w:rPr>
          <w:rFonts w:ascii="Noto Sans Semibold" w:eastAsia="Noto Sans Semibold" w:hAnsi="Noto Sans Semibold" w:cs="Noto Sans Semibold"/>
          <w:b/>
          <w:bCs/>
          <w:color w:val="0080A8"/>
          <w:sz w:val="30"/>
          <w:szCs w:val="30"/>
        </w:rPr>
        <w:t>Summary</w:t>
      </w:r>
    </w:p>
    <w:p w14:paraId="1CEC5C36" w14:textId="77777777" w:rsidR="00F5058D" w:rsidRDefault="00794903">
      <w:pPr>
        <w:spacing w:after="160"/>
      </w:pPr>
      <w:r>
        <w:t xml:space="preserve">This session focused on the workflows that advances in machine learning are expected to enhance, including fault and horizon picking, lithofacies classification, and detecting sequence stratigraphic boundaries. It then focused on two types of </w:t>
      </w:r>
      <w:proofErr w:type="spellStart"/>
      <w:r>
        <w:t>geobodies</w:t>
      </w:r>
      <w:proofErr w:type="spellEnd"/>
      <w:r>
        <w:t xml:space="preserve">, simple and interpreted. </w:t>
      </w:r>
      <w:proofErr w:type="spellStart"/>
      <w:r>
        <w:t>Geobodies</w:t>
      </w:r>
      <w:proofErr w:type="spellEnd"/>
      <w:r>
        <w:t xml:space="preserve"> are the product of SOM classification, representing further grouping of connected samples within a shared winning neuron; these groupings can reveal seismic information that would not otherwise be visible in standard seismic data, increasing the efficiency and capability of a geoscientist to extract valuable reservoir information. Finally, the session discussed the computing hardware considerations relevant to running machine learning algorithms effectively.</w:t>
      </w:r>
    </w:p>
    <w:sectPr w:rsidR="00F5058D">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E056" w14:textId="77777777" w:rsidR="00794903" w:rsidRDefault="00794903">
      <w:r>
        <w:separator/>
      </w:r>
    </w:p>
  </w:endnote>
  <w:endnote w:type="continuationSeparator" w:id="0">
    <w:p w14:paraId="2D902C93" w14:textId="77777777" w:rsidR="00794903" w:rsidRDefault="0079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04D5" w14:textId="77777777" w:rsidR="00F5058D" w:rsidRDefault="00794903">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CC74C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CD722" w14:textId="77777777" w:rsidR="00794903" w:rsidRDefault="00794903">
      <w:r>
        <w:separator/>
      </w:r>
    </w:p>
  </w:footnote>
  <w:footnote w:type="continuationSeparator" w:id="0">
    <w:p w14:paraId="68E3672F" w14:textId="77777777" w:rsidR="00794903" w:rsidRDefault="00794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0F7A" w14:textId="77777777" w:rsidR="00F5058D" w:rsidRDefault="00794903">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D78B9"/>
    <w:multiLevelType w:val="hybridMultilevel"/>
    <w:tmpl w:val="26BC8804"/>
    <w:lvl w:ilvl="0" w:tplc="95AEC6FA">
      <w:start w:val="1"/>
      <w:numFmt w:val="decimal"/>
      <w:lvlText w:val="%1."/>
      <w:lvlJc w:val="left"/>
      <w:pPr>
        <w:ind w:left="460" w:hanging="260"/>
      </w:pPr>
    </w:lvl>
    <w:lvl w:ilvl="1" w:tplc="F0348A48">
      <w:numFmt w:val="decimal"/>
      <w:lvlText w:val=""/>
      <w:lvlJc w:val="left"/>
    </w:lvl>
    <w:lvl w:ilvl="2" w:tplc="5CE424AA">
      <w:numFmt w:val="decimal"/>
      <w:lvlText w:val=""/>
      <w:lvlJc w:val="left"/>
    </w:lvl>
    <w:lvl w:ilvl="3" w:tplc="00CCFD1C">
      <w:numFmt w:val="decimal"/>
      <w:lvlText w:val=""/>
      <w:lvlJc w:val="left"/>
    </w:lvl>
    <w:lvl w:ilvl="4" w:tplc="AA365E30">
      <w:numFmt w:val="decimal"/>
      <w:lvlText w:val=""/>
      <w:lvlJc w:val="left"/>
    </w:lvl>
    <w:lvl w:ilvl="5" w:tplc="AE068AAC">
      <w:numFmt w:val="decimal"/>
      <w:lvlText w:val=""/>
      <w:lvlJc w:val="left"/>
    </w:lvl>
    <w:lvl w:ilvl="6" w:tplc="6DA85082">
      <w:numFmt w:val="decimal"/>
      <w:lvlText w:val=""/>
      <w:lvlJc w:val="left"/>
    </w:lvl>
    <w:lvl w:ilvl="7" w:tplc="11344648">
      <w:numFmt w:val="decimal"/>
      <w:lvlText w:val=""/>
      <w:lvlJc w:val="left"/>
    </w:lvl>
    <w:lvl w:ilvl="8" w:tplc="8A486476">
      <w:numFmt w:val="decimal"/>
      <w:lvlText w:val=""/>
      <w:lvlJc w:val="left"/>
    </w:lvl>
  </w:abstractNum>
  <w:abstractNum w:abstractNumId="1" w15:restartNumberingAfterBreak="0">
    <w:nsid w:val="4ABA059C"/>
    <w:multiLevelType w:val="hybridMultilevel"/>
    <w:tmpl w:val="D4FAF654"/>
    <w:lvl w:ilvl="0" w:tplc="7E66A3F4">
      <w:start w:val="1"/>
      <w:numFmt w:val="bullet"/>
      <w:lvlText w:val="●"/>
      <w:lvlJc w:val="left"/>
      <w:pPr>
        <w:ind w:left="720" w:hanging="360"/>
      </w:pPr>
    </w:lvl>
    <w:lvl w:ilvl="1" w:tplc="39B2E750">
      <w:start w:val="1"/>
      <w:numFmt w:val="bullet"/>
      <w:lvlText w:val="○"/>
      <w:lvlJc w:val="left"/>
      <w:pPr>
        <w:ind w:left="1440" w:hanging="360"/>
      </w:pPr>
    </w:lvl>
    <w:lvl w:ilvl="2" w:tplc="772C6AFE">
      <w:start w:val="1"/>
      <w:numFmt w:val="bullet"/>
      <w:lvlText w:val="■"/>
      <w:lvlJc w:val="left"/>
      <w:pPr>
        <w:ind w:left="2160" w:hanging="360"/>
      </w:pPr>
    </w:lvl>
    <w:lvl w:ilvl="3" w:tplc="F052FFBC">
      <w:start w:val="1"/>
      <w:numFmt w:val="bullet"/>
      <w:lvlText w:val="●"/>
      <w:lvlJc w:val="left"/>
      <w:pPr>
        <w:ind w:left="2880" w:hanging="360"/>
      </w:pPr>
    </w:lvl>
    <w:lvl w:ilvl="4" w:tplc="99468AD8">
      <w:start w:val="1"/>
      <w:numFmt w:val="bullet"/>
      <w:lvlText w:val="○"/>
      <w:lvlJc w:val="left"/>
      <w:pPr>
        <w:ind w:left="3600" w:hanging="360"/>
      </w:pPr>
    </w:lvl>
    <w:lvl w:ilvl="5" w:tplc="15164890">
      <w:start w:val="1"/>
      <w:numFmt w:val="bullet"/>
      <w:lvlText w:val="■"/>
      <w:lvlJc w:val="left"/>
      <w:pPr>
        <w:ind w:left="4320" w:hanging="360"/>
      </w:pPr>
    </w:lvl>
    <w:lvl w:ilvl="6" w:tplc="1CE27C56">
      <w:start w:val="1"/>
      <w:numFmt w:val="bullet"/>
      <w:lvlText w:val="●"/>
      <w:lvlJc w:val="left"/>
      <w:pPr>
        <w:ind w:left="5040" w:hanging="360"/>
      </w:pPr>
    </w:lvl>
    <w:lvl w:ilvl="7" w:tplc="8ECA5E92">
      <w:start w:val="1"/>
      <w:numFmt w:val="bullet"/>
      <w:lvlText w:val="●"/>
      <w:lvlJc w:val="left"/>
      <w:pPr>
        <w:ind w:left="5760" w:hanging="360"/>
      </w:pPr>
    </w:lvl>
    <w:lvl w:ilvl="8" w:tplc="631CA178">
      <w:start w:val="1"/>
      <w:numFmt w:val="bullet"/>
      <w:lvlText w:val="●"/>
      <w:lvlJc w:val="left"/>
      <w:pPr>
        <w:ind w:left="6480" w:hanging="360"/>
      </w:pPr>
    </w:lvl>
  </w:abstractNum>
  <w:num w:numId="1" w16cid:durableId="1875343321">
    <w:abstractNumId w:val="1"/>
    <w:lvlOverride w:ilvl="0">
      <w:startOverride w:val="1"/>
    </w:lvlOverride>
  </w:num>
  <w:num w:numId="2" w16cid:durableId="9492378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8D"/>
    <w:rsid w:val="000B1CE4"/>
    <w:rsid w:val="00794903"/>
    <w:rsid w:val="00CC74CD"/>
    <w:rsid w:val="00F50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BC58"/>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4BE79-6EBE-4130-948A-6ECADFB726C2}"/>
</file>

<file path=customXml/itemProps2.xml><?xml version="1.0" encoding="utf-8"?>
<ds:datastoreItem xmlns:ds="http://schemas.openxmlformats.org/officeDocument/2006/customXml" ds:itemID="{24BC4C4F-D282-4FF9-B3EC-E60726D90A2E}"/>
</file>

<file path=customXml/itemProps3.xml><?xml version="1.0" encoding="utf-8"?>
<ds:datastoreItem xmlns:ds="http://schemas.openxmlformats.org/officeDocument/2006/customXml" ds:itemID="{1BC22A2C-9DC7-4E71-88BD-466880F0BA16}"/>
</file>

<file path=docProps/app.xml><?xml version="1.0" encoding="utf-8"?>
<Properties xmlns="http://schemas.openxmlformats.org/officeDocument/2006/extended-properties" xmlns:vt="http://schemas.openxmlformats.org/officeDocument/2006/docPropsVTypes">
  <Template>Normal.dotm</Template>
  <TotalTime>230</TotalTime>
  <Pages>5</Pages>
  <Words>1835</Words>
  <Characters>10465</Characters>
  <Application>Microsoft Office Word</Application>
  <DocSecurity>0</DocSecurity>
  <Lines>87</Lines>
  <Paragraphs>24</Paragraphs>
  <ScaleCrop>false</ScaleCrop>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Sarah Graviss</cp:lastModifiedBy>
  <cp:revision>2</cp:revision>
  <dcterms:created xsi:type="dcterms:W3CDTF">2026-08-05T18:53:00Z</dcterms:created>
  <dcterms:modified xsi:type="dcterms:W3CDTF">2026-08-05T18:53:00Z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