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BEF96" w14:textId="77777777" w:rsidR="00415892" w:rsidRDefault="007231E3">
      <w:pPr>
        <w:spacing w:before="400" w:after="500"/>
      </w:pPr>
      <w:r>
        <w:rPr>
          <w:noProof/>
        </w:rPr>
        <w:drawing>
          <wp:inline distT="0" distB="0" distL="0" distR="0" wp14:anchorId="70D0F928" wp14:editId="1BF35EC2">
            <wp:extent cx="2924175"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924175" cy="742950"/>
                    </a:xfrm>
                    <a:prstGeom prst="rect">
                      <a:avLst/>
                    </a:prstGeom>
                  </pic:spPr>
                </pic:pic>
              </a:graphicData>
            </a:graphic>
          </wp:inline>
        </w:drawing>
      </w:r>
    </w:p>
    <w:p w14:paraId="2C031C2B" w14:textId="77777777" w:rsidR="00415892" w:rsidRDefault="007231E3">
      <w:pPr>
        <w:spacing w:before="800" w:after="120"/>
      </w:pPr>
      <w:r>
        <w:rPr>
          <w:rFonts w:ascii="Noto Sans Semibold" w:eastAsia="Noto Sans Semibold" w:hAnsi="Noto Sans Semibold" w:cs="Noto Sans Semibold"/>
          <w:b/>
          <w:bCs/>
          <w:color w:val="005563"/>
          <w:sz w:val="56"/>
          <w:szCs w:val="56"/>
        </w:rPr>
        <w:t>Machine Learning Essentials</w:t>
      </w:r>
    </w:p>
    <w:p w14:paraId="0E5C6CD3" w14:textId="77777777" w:rsidR="00415892" w:rsidRDefault="00415892">
      <w:pPr>
        <w:pBdr>
          <w:bottom w:val="single" w:sz="18" w:space="8" w:color="F7941D"/>
        </w:pBdr>
        <w:spacing w:after="300"/>
      </w:pPr>
    </w:p>
    <w:p w14:paraId="0AC78DE8" w14:textId="77777777" w:rsidR="00415892" w:rsidRDefault="007231E3">
      <w:pPr>
        <w:spacing w:after="3200"/>
      </w:pPr>
      <w:proofErr w:type="spellStart"/>
      <w:r>
        <w:rPr>
          <w:i/>
          <w:iCs/>
          <w:color w:val="0080A8"/>
          <w:sz w:val="24"/>
          <w:szCs w:val="24"/>
        </w:rPr>
        <w:t>Ecourse</w:t>
      </w:r>
      <w:proofErr w:type="spellEnd"/>
      <w:r>
        <w:rPr>
          <w:i/>
          <w:iCs/>
          <w:color w:val="0080A8"/>
          <w:sz w:val="24"/>
          <w:szCs w:val="24"/>
        </w:rPr>
        <w:t xml:space="preserve"> Presentation - Cleaned Transcript</w:t>
      </w:r>
    </w:p>
    <w:p w14:paraId="249BBA0D" w14:textId="77777777" w:rsidR="00415892" w:rsidRDefault="007231E3">
      <w:r>
        <w:br w:type="page"/>
      </w:r>
    </w:p>
    <w:p w14:paraId="053D441E" w14:textId="77777777" w:rsidR="00415892" w:rsidRDefault="007231E3">
      <w:pPr>
        <w:pStyle w:val="Heading2"/>
        <w:spacing w:before="320" w:after="140"/>
      </w:pPr>
      <w:r>
        <w:rPr>
          <w:rFonts w:ascii="Noto Sans Semibold" w:eastAsia="Noto Sans Semibold" w:hAnsi="Noto Sans Semibold" w:cs="Noto Sans Semibold"/>
          <w:b/>
          <w:bCs/>
          <w:color w:val="0080A8"/>
          <w:sz w:val="30"/>
          <w:szCs w:val="30"/>
        </w:rPr>
        <w:lastRenderedPageBreak/>
        <w:t>Overview</w:t>
      </w:r>
    </w:p>
    <w:p w14:paraId="1A6AD9A4" w14:textId="77777777" w:rsidR="00415892" w:rsidRDefault="007231E3">
      <w:pPr>
        <w:spacing w:after="160"/>
      </w:pPr>
      <w:r>
        <w:t xml:space="preserve">This session focuses on practical examples of the three types of machine learning. It covers what different neuron topologies typically indicate in the data, along with the statistical principles behind choosing an optimal topology, and the statistical principles behind choosing the optimal number of neurons to maximize detail while minimizing potential </w:t>
      </w:r>
      <w:proofErr w:type="gramStart"/>
      <w:r>
        <w:t>error</w:t>
      </w:r>
      <w:proofErr w:type="gramEnd"/>
      <w:r>
        <w:t>.</w:t>
      </w:r>
    </w:p>
    <w:p w14:paraId="102C1889" w14:textId="77777777" w:rsidR="00415892" w:rsidRDefault="007231E3">
      <w:pPr>
        <w:pStyle w:val="Heading2"/>
        <w:spacing w:before="320" w:after="140"/>
      </w:pPr>
      <w:r>
        <w:rPr>
          <w:rFonts w:ascii="Noto Sans Semibold" w:eastAsia="Noto Sans Semibold" w:hAnsi="Noto Sans Semibold" w:cs="Noto Sans Semibold"/>
          <w:b/>
          <w:bCs/>
          <w:color w:val="0080A8"/>
          <w:sz w:val="30"/>
          <w:szCs w:val="30"/>
        </w:rPr>
        <w:t>Blender Thinking vs. Classifier Thinking: A Real-World Example</w:t>
      </w:r>
    </w:p>
    <w:p w14:paraId="06B5FCD7" w14:textId="77777777" w:rsidR="00415892" w:rsidRDefault="007231E3">
      <w:pPr>
        <w:spacing w:after="160"/>
      </w:pPr>
      <w:r>
        <w:t xml:space="preserve">An example from the </w:t>
      </w:r>
      <w:proofErr w:type="spellStart"/>
      <w:r>
        <w:t>Jorgali</w:t>
      </w:r>
      <w:proofErr w:type="spellEnd"/>
      <w:r>
        <w:t xml:space="preserve"> Formation in Pakistan illustrates traditional "blender" thinking in seismic interpretation. The prospect was drilled based on four 2D lines (one long-axis line and three cross lines) over an asymmetric anticline, with faults picked from the seismic data and a structure map built from the interpreted contours and fault positions, all without any 3D coverage.</w:t>
      </w:r>
    </w:p>
    <w:p w14:paraId="0EB17902" w14:textId="77777777" w:rsidR="00415892" w:rsidRDefault="007231E3">
      <w:pPr>
        <w:spacing w:after="160"/>
      </w:pPr>
      <w:r>
        <w:t xml:space="preserve">Examining the resulting structure map reveals an interesting detail: the well was spudded at one location, but after drilling, the seismic data was </w:t>
      </w:r>
      <w:proofErr w:type="gramStart"/>
      <w:r>
        <w:t>reinterpreted</w:t>
      </w:r>
      <w:proofErr w:type="gramEnd"/>
      <w:r>
        <w:t xml:space="preserve"> and the actual structural high was found to be on the other side of a fault from where the well was </w:t>
      </w:r>
      <w:proofErr w:type="gramStart"/>
      <w:r>
        <w:t>actually drilled</w:t>
      </w:r>
      <w:proofErr w:type="gramEnd"/>
      <w:r>
        <w:t xml:space="preserve">. This </w:t>
      </w:r>
      <w:proofErr w:type="gramStart"/>
      <w:r>
        <w:t>indicates</w:t>
      </w:r>
      <w:proofErr w:type="gramEnd"/>
      <w:r>
        <w:t xml:space="preserve"> the map was likely finalized only after the well was already drilled, with the benefit of hindsight suggesting a better location would have been on the other side of the fault. This is a classic example of "blender" thinking: a smoothed, simplified picture of an anticline, when the real subsurface geology is almost certainly more complex.</w:t>
      </w:r>
    </w:p>
    <w:p w14:paraId="497BFE58" w14:textId="77777777" w:rsidR="00415892" w:rsidRDefault="007231E3">
      <w:pPr>
        <w:spacing w:after="160"/>
      </w:pPr>
      <w:r>
        <w:t xml:space="preserve">By contrast, "classifier" thinking is illustrated using SOM winning-neuron classifications from a 3D survey (the well-known "teardrop" example, long used in Kingdom and at SMT). A single winning neuron's classification (for example, a cyan-colored </w:t>
      </w:r>
      <w:proofErr w:type="spellStart"/>
      <w:r>
        <w:t>geobody</w:t>
      </w:r>
      <w:proofErr w:type="spellEnd"/>
      <w:r>
        <w:t xml:space="preserve">) may correspond to one or more physically separate </w:t>
      </w:r>
      <w:proofErr w:type="spellStart"/>
      <w:r>
        <w:t>geobodies</w:t>
      </w:r>
      <w:proofErr w:type="spellEnd"/>
      <w:r>
        <w:t xml:space="preserve">, all sharing similar attribute properties, since it is possible for dozens of distinct </w:t>
      </w:r>
      <w:proofErr w:type="spellStart"/>
      <w:r>
        <w:t>geobodies</w:t>
      </w:r>
      <w:proofErr w:type="spellEnd"/>
      <w:r>
        <w:t xml:space="preserve"> to share the same winning neuron. A </w:t>
      </w:r>
      <w:proofErr w:type="spellStart"/>
      <w:r>
        <w:t>geobody</w:t>
      </w:r>
      <w:proofErr w:type="spellEnd"/>
      <w:r>
        <w:t xml:space="preserve">, in this context, is defined as a connected region of samples sharing the same winning neuron; this is how a modest number of winning neurons (for example, 64 from an 8x8 topology) can give rise to hundreds of thousands of distinct </w:t>
      </w:r>
      <w:proofErr w:type="spellStart"/>
      <w:r>
        <w:t>geobodies</w:t>
      </w:r>
      <w:proofErr w:type="spellEnd"/>
      <w:r>
        <w:t>, since each connected group of same-neuron samples counts se</w:t>
      </w:r>
      <w:r>
        <w:t>parately.</w:t>
      </w:r>
    </w:p>
    <w:p w14:paraId="34D94DC9" w14:textId="77777777" w:rsidR="00415892" w:rsidRDefault="007231E3">
      <w:pPr>
        <w:spacing w:after="160"/>
      </w:pPr>
      <w:r>
        <w:t xml:space="preserve">Machine learning is not expected to replace the interpreter, since hydrocarbon presence depends on geology, which is inherently non-uniform. Instead, machine learning is intended to handle </w:t>
      </w:r>
      <w:proofErr w:type="gramStart"/>
      <w:r>
        <w:t>the repetitive</w:t>
      </w:r>
      <w:proofErr w:type="gramEnd"/>
      <w:r>
        <w:t>, tedious "grunt work," providing a new platform for future decision-making. At present, most of this technology remains a research-stage tool used by a relatively small number of practitioners.</w:t>
      </w:r>
    </w:p>
    <w:p w14:paraId="0F89ED5E" w14:textId="77777777" w:rsidR="00415892" w:rsidRDefault="007231E3">
      <w:pPr>
        <w:pStyle w:val="Heading2"/>
        <w:spacing w:before="320" w:after="140"/>
      </w:pPr>
      <w:r>
        <w:rPr>
          <w:rFonts w:ascii="Noto Sans Semibold" w:eastAsia="Noto Sans Semibold" w:hAnsi="Noto Sans Semibold" w:cs="Noto Sans Semibold"/>
          <w:b/>
          <w:bCs/>
          <w:color w:val="0080A8"/>
          <w:sz w:val="30"/>
          <w:szCs w:val="30"/>
        </w:rPr>
        <w:t>The Fish Sorter Analogy</w:t>
      </w:r>
    </w:p>
    <w:p w14:paraId="3963DE5B" w14:textId="77777777" w:rsidR="00415892" w:rsidRDefault="007231E3">
      <w:pPr>
        <w:spacing w:after="160"/>
      </w:pPr>
      <w:r>
        <w:t>To illustrate the distinctions between the three main types of machine learning, a hypothetical scenario is presented: inheriting a fish-processing factory that currently sorts several kinds of fish (for example, crappie, carp, perch, minnows, bluegill, plus two illustrative extras: gummy fish and crawdads/"mud bugs") using a slow, manual process. The sorting problem serves as an analogy for classification, using attributes like length, weight, shape, skin texture, and identification marks.</w:t>
      </w:r>
    </w:p>
    <w:p w14:paraId="47560D2B" w14:textId="77777777" w:rsidR="00415892" w:rsidRDefault="007231E3">
      <w:pPr>
        <w:pStyle w:val="Heading3"/>
        <w:spacing w:before="240" w:after="100"/>
      </w:pPr>
      <w:r>
        <w:rPr>
          <w:rFonts w:ascii="Noto Sans Semibold" w:eastAsia="Noto Sans Semibold" w:hAnsi="Noto Sans Semibold" w:cs="Noto Sans Semibold"/>
          <w:b/>
          <w:bCs/>
          <w:color w:val="005563"/>
        </w:rPr>
        <w:t>Supervised Learning</w:t>
      </w:r>
    </w:p>
    <w:p w14:paraId="4B4408BB" w14:textId="77777777" w:rsidR="00415892" w:rsidRDefault="007231E3">
      <w:pPr>
        <w:spacing w:after="160"/>
      </w:pPr>
      <w:r>
        <w:t xml:space="preserve">For supervised learning, each bucket of already-known fish (tagged and pre-sorted) </w:t>
      </w:r>
      <w:proofErr w:type="gramStart"/>
      <w:r>
        <w:t>is run</w:t>
      </w:r>
      <w:proofErr w:type="gramEnd"/>
      <w:r>
        <w:t xml:space="preserve"> past sensors on the conveyor to record its attributes, building up the known statistical properties of </w:t>
      </w:r>
      <w:r>
        <w:lastRenderedPageBreak/>
        <w:t xml:space="preserve">each fish type. The neural network is then trained to recognize each fish type based on its already-known classification. After training, some classification </w:t>
      </w:r>
      <w:proofErr w:type="gramStart"/>
      <w:r>
        <w:t>error</w:t>
      </w:r>
      <w:proofErr w:type="gramEnd"/>
      <w:r>
        <w:t xml:space="preserve"> will remain (training never reaches perfection), but the trained network can then be used to automatically divert new, unsorted fish into the correct processing lines.</w:t>
      </w:r>
    </w:p>
    <w:p w14:paraId="0C0FCD2C" w14:textId="77777777" w:rsidR="00415892" w:rsidRDefault="007231E3">
      <w:pPr>
        <w:pStyle w:val="Heading3"/>
        <w:spacing w:before="240" w:after="100"/>
      </w:pPr>
      <w:r>
        <w:rPr>
          <w:rFonts w:ascii="Noto Sans Semibold" w:eastAsia="Noto Sans Semibold" w:hAnsi="Noto Sans Semibold" w:cs="Noto Sans Semibold"/>
          <w:b/>
          <w:bCs/>
          <w:color w:val="005563"/>
        </w:rPr>
        <w:t>Unsupervised Learning</w:t>
      </w:r>
    </w:p>
    <w:p w14:paraId="553EBF4A" w14:textId="77777777" w:rsidR="00415892" w:rsidRDefault="007231E3">
      <w:pPr>
        <w:spacing w:after="160"/>
      </w:pPr>
      <w:r>
        <w:t xml:space="preserve">For unsupervised learning, fish are not kept separated by bucket; all fish attributes are recorded regardless of type, and each fish is represented as a unique point (vector) in attribute space. Training (using an algorithm such as k-means or SOM) identifies natural clusters corresponding to each fish </w:t>
      </w:r>
      <w:proofErr w:type="gramStart"/>
      <w:r>
        <w:t>variety, and</w:t>
      </w:r>
      <w:proofErr w:type="gramEnd"/>
      <w:r>
        <w:t xml:space="preserve"> reveals which varieties are easily distinguished from one another versus which are difficult to separate. As with supervised learning, some classification error remains after training, and the resulting model is used to sort new fish.</w:t>
      </w:r>
    </w:p>
    <w:p w14:paraId="633D5D76" w14:textId="77777777" w:rsidR="00415892" w:rsidRDefault="007231E3">
      <w:pPr>
        <w:pStyle w:val="Heading3"/>
        <w:spacing w:before="240" w:after="100"/>
      </w:pPr>
      <w:r>
        <w:rPr>
          <w:rFonts w:ascii="Noto Sans Semibold" w:eastAsia="Noto Sans Semibold" w:hAnsi="Noto Sans Semibold" w:cs="Noto Sans Semibold"/>
          <w:b/>
          <w:bCs/>
          <w:color w:val="005563"/>
        </w:rPr>
        <w:t>Deep Learning</w:t>
      </w:r>
    </w:p>
    <w:p w14:paraId="44376111" w14:textId="77777777" w:rsidR="00415892" w:rsidRDefault="007231E3">
      <w:pPr>
        <w:spacing w:after="160"/>
      </w:pPr>
      <w:r>
        <w:t>For deep learning, sensors again measure fish attributes, but the network architecture itself includes feature extraction (sometimes called segmentation) as part of its training layers, learning to recognize fish based on extracted features rather than a fixed attribute list alone. As with the other two approaches, training seeks to minimize classification error, and the resulting network is then used to sort new fish.</w:t>
      </w:r>
    </w:p>
    <w:p w14:paraId="1B93A3EB" w14:textId="77777777" w:rsidR="00415892" w:rsidRDefault="007231E3">
      <w:pPr>
        <w:pStyle w:val="Heading2"/>
        <w:spacing w:before="320" w:after="140"/>
      </w:pPr>
      <w:r>
        <w:rPr>
          <w:rFonts w:ascii="Noto Sans Semibold" w:eastAsia="Noto Sans Semibold" w:hAnsi="Noto Sans Semibold" w:cs="Noto Sans Semibold"/>
          <w:b/>
          <w:bCs/>
          <w:color w:val="0080A8"/>
          <w:sz w:val="30"/>
          <w:szCs w:val="30"/>
        </w:rPr>
        <w:t>Working Both Sides of the Fence</w:t>
      </w:r>
    </w:p>
    <w:p w14:paraId="0A042094" w14:textId="77777777" w:rsidR="00415892" w:rsidRDefault="007231E3">
      <w:pPr>
        <w:spacing w:after="160"/>
      </w:pPr>
      <w:r>
        <w:t>A common question is why SOM examples are so often shown using an 8x8 neuron topology. The answer is that 8x8 is not a fixed requirement; interpreting multiple SOM results side by side, potentially several different topologies (for example, 4x4, 5x5, 8x8, and 10x10), is a valuable practice called "working both sides of the fence." No single topology is presumed to be the sole correct answer.</w:t>
      </w:r>
    </w:p>
    <w:p w14:paraId="5B6275B3" w14:textId="77777777" w:rsidR="00415892" w:rsidRDefault="007231E3">
      <w:pPr>
        <w:spacing w:after="160"/>
      </w:pPr>
      <w:r>
        <w:t xml:space="preserve">Generally, more neurons provide more detail, so interpretation typically proceeds from a broad, low-resolution picture (fewer neurons) toward a detailed, high-resolution picture (more neurons), </w:t>
      </w:r>
      <w:proofErr w:type="gramStart"/>
      <w:r>
        <w:t>similar to</w:t>
      </w:r>
      <w:proofErr w:type="gramEnd"/>
      <w:r>
        <w:t xml:space="preserve"> viewing the Earth from different altitudes. This mirrors the earlier wedge-model findings, where increasing the number of related (single-trace) attributes provided progressively more detail. More attributes of a similar kind </w:t>
      </w:r>
      <w:proofErr w:type="gramStart"/>
      <w:r>
        <w:t>lead</w:t>
      </w:r>
      <w:proofErr w:type="gramEnd"/>
      <w:r>
        <w:t xml:space="preserve"> to more detail, but a more detailed model does not automatically contain "the whole answer." Broad, low-resolution classifications may still be useful for orienting the interpreter to the big picture and flagging geologic anomalies worth further investigation, even thou</w:t>
      </w:r>
      <w:r>
        <w:t>gh individual sample fits (probabilities) tend to be lower at that broad scale.</w:t>
      </w:r>
    </w:p>
    <w:p w14:paraId="6B4A4D1C" w14:textId="77777777" w:rsidR="00415892" w:rsidRDefault="007231E3">
      <w:pPr>
        <w:pStyle w:val="Heading2"/>
        <w:spacing w:before="320" w:after="140"/>
      </w:pPr>
      <w:r>
        <w:rPr>
          <w:rFonts w:ascii="Noto Sans Semibold" w:eastAsia="Noto Sans Semibold" w:hAnsi="Noto Sans Semibold" w:cs="Noto Sans Semibold"/>
          <w:b/>
          <w:bCs/>
          <w:color w:val="0080A8"/>
          <w:sz w:val="30"/>
          <w:szCs w:val="30"/>
        </w:rPr>
        <w:t>The Principle of Parsimony</w:t>
      </w:r>
    </w:p>
    <w:p w14:paraId="1C7D1965" w14:textId="77777777" w:rsidR="00415892" w:rsidRDefault="007231E3">
      <w:pPr>
        <w:spacing w:after="160"/>
      </w:pPr>
      <w:r>
        <w:t>As model complexity increases (more neurons, larger topologies), bias (a measure of how well the model fits its own training data) decreases, since more complex models fit the training data more closely. However, residual error, evaluated using independent data not used in training, tends to increase for overly complex models, since an overly complex model can overfit its training data at the expense of generalizing well to new data.</w:t>
      </w:r>
    </w:p>
    <w:p w14:paraId="0643F2AA" w14:textId="77777777" w:rsidR="00415892" w:rsidRDefault="007231E3">
      <w:pPr>
        <w:spacing w:after="160"/>
      </w:pPr>
      <w:r>
        <w:t xml:space="preserve">There is a minimum in the combination of bias and residual error, and the principle of parsimony (also known as Occam's razor) holds that the best model is the one at this minimum, rather than </w:t>
      </w:r>
      <w:r>
        <w:lastRenderedPageBreak/>
        <w:t>the most complex model available. Adding further complexity beyond this point does not improve the result; it moves the model further from an accurate representation of the real Earth. Occam's razor states that, among competing hypotheses (here, competing neuron topologies), the one with the fewest assumptions, meaning the one satisfying the bias/residual balance, should be preferred.</w:t>
      </w:r>
    </w:p>
    <w:p w14:paraId="77C1155B" w14:textId="77777777" w:rsidR="00415892" w:rsidRDefault="007231E3">
      <w:pPr>
        <w:pStyle w:val="Heading3"/>
        <w:spacing w:before="240" w:after="100"/>
      </w:pPr>
      <w:r>
        <w:rPr>
          <w:rFonts w:ascii="Noto Sans Semibold" w:eastAsia="Noto Sans Semibold" w:hAnsi="Noto Sans Semibold" w:cs="Noto Sans Semibold"/>
          <w:b/>
          <w:bCs/>
          <w:color w:val="005563"/>
        </w:rPr>
        <w:t>Worked Example: Stratton Field, Line 51</w:t>
      </w:r>
    </w:p>
    <w:p w14:paraId="455D4DB4" w14:textId="77777777" w:rsidR="00415892" w:rsidRDefault="007231E3">
      <w:pPr>
        <w:spacing w:after="160"/>
      </w:pPr>
      <w:r>
        <w:t>Using Stratton Field 3D survey Line 51 (200 traces per line, 100 lines), a time window from 1.2 to 1.8 seconds spanning the Middle Frio reservoir zone (a little over 60,000 samples), a series of hexagonal SOM topologies from 8x8 up to 100x100 (10,000 neurons) were tested, using an early-termination threshold of 0.0001 to stop training once improvement fell below that level.</w:t>
      </w:r>
    </w:p>
    <w:p w14:paraId="277ABFCB" w14:textId="77777777" w:rsidR="00415892" w:rsidRDefault="007231E3">
      <w:pPr>
        <w:pStyle w:val="ListParagraph"/>
        <w:numPr>
          <w:ilvl w:val="0"/>
          <w:numId w:val="1"/>
        </w:numPr>
        <w:spacing w:after="80"/>
      </w:pPr>
      <w:r>
        <w:rPr>
          <w:b/>
          <w:bCs/>
          <w:color w:val="005563"/>
        </w:rPr>
        <w:t>Final error:</w:t>
      </w:r>
      <w:r>
        <w:t xml:space="preserve"> as expected, final standard deviation of error decreases monotonically as the number of neurons increases; more neurons always fit the training data at least as well.</w:t>
      </w:r>
    </w:p>
    <w:p w14:paraId="2B1C9A93" w14:textId="77777777" w:rsidR="00415892" w:rsidRDefault="007231E3">
      <w:pPr>
        <w:pStyle w:val="ListParagraph"/>
        <w:numPr>
          <w:ilvl w:val="0"/>
          <w:numId w:val="1"/>
        </w:numPr>
        <w:spacing w:after="80"/>
      </w:pPr>
      <w:r>
        <w:rPr>
          <w:b/>
          <w:bCs/>
          <w:color w:val="005563"/>
        </w:rPr>
        <w:t>Best learning (error reduction ratio):</w:t>
      </w:r>
      <w:r>
        <w:t xml:space="preserve"> comparing the ratio of final to initial standard deviation shows that error reduction also improves with more neurons, from roughly 65% reduction at 8x8 up to over 45% remaining error even at 10,000 neurons (implying a larger relative reduction with more neurons).</w:t>
      </w:r>
    </w:p>
    <w:p w14:paraId="0362CC5A" w14:textId="77777777" w:rsidR="00415892" w:rsidRDefault="007231E3">
      <w:pPr>
        <w:pStyle w:val="ListParagraph"/>
        <w:numPr>
          <w:ilvl w:val="0"/>
          <w:numId w:val="1"/>
        </w:numPr>
        <w:spacing w:after="80"/>
      </w:pPr>
      <w:r>
        <w:rPr>
          <w:b/>
          <w:bCs/>
          <w:color w:val="005563"/>
        </w:rPr>
        <w:t>Akaike Information Criteria (AIC):</w:t>
      </w:r>
      <w:r>
        <w:t xml:space="preserve"> AIC accounts for both model complexity (bias) and residual error together. Calculating AIC across the tested topologies identified a minimum at a 75x75 neuron topology (5,625 neurons) as the statistically optimal model for this dataset. Topologies smaller than 75x75 provide increasing resolution and detail as neuron count grows; topologies larger than 75x75 provide no meaningful new information, since AIC begins increasing again beyond that point.</w:t>
      </w:r>
    </w:p>
    <w:p w14:paraId="00464F19" w14:textId="77777777" w:rsidR="00415892" w:rsidRDefault="007231E3">
      <w:pPr>
        <w:pStyle w:val="Heading2"/>
        <w:spacing w:before="320" w:after="140"/>
      </w:pPr>
      <w:r>
        <w:rPr>
          <w:rFonts w:ascii="Noto Sans Semibold" w:eastAsia="Noto Sans Semibold" w:hAnsi="Noto Sans Semibold" w:cs="Noto Sans Semibold"/>
          <w:b/>
          <w:bCs/>
          <w:color w:val="0080A8"/>
          <w:sz w:val="30"/>
          <w:szCs w:val="30"/>
        </w:rPr>
        <w:t>Summary</w:t>
      </w:r>
    </w:p>
    <w:p w14:paraId="2455209D" w14:textId="77777777" w:rsidR="00415892" w:rsidRDefault="007231E3">
      <w:pPr>
        <w:spacing w:after="160"/>
      </w:pPr>
      <w:r>
        <w:t>This presentation focused on a practical example highlighting the differences between supervised, unsupervised, and deep learning methods (the fish sorter analogy). It then discussed "working both sides of the fence," the idea that a single SOM result rarely provides the complete answer, and that more neurons generally provide more detail. The principle of parsimony was introduced to address the statistics of picking an appropriate topology, establishing that there is a limit to the optimal number of neuron</w:t>
      </w:r>
      <w:r>
        <w:t>s in a model, marking the breaking point between a model that still offers increased detail and one that has begun introducing increased error instead.</w:t>
      </w:r>
    </w:p>
    <w:sectPr w:rsidR="00415892">
      <w:headerReference w:type="default" r:id="rId8"/>
      <w:footerReference w:type="default" r:id="rId9"/>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3AF9F" w14:textId="77777777" w:rsidR="007231E3" w:rsidRDefault="007231E3">
      <w:r>
        <w:separator/>
      </w:r>
    </w:p>
  </w:endnote>
  <w:endnote w:type="continuationSeparator" w:id="0">
    <w:p w14:paraId="50CB311C" w14:textId="77777777" w:rsidR="007231E3" w:rsidRDefault="00723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emibold">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B3FFF" w14:textId="77777777" w:rsidR="00415892" w:rsidRDefault="007231E3">
    <w:pP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820B4C">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B8D65" w14:textId="77777777" w:rsidR="007231E3" w:rsidRDefault="007231E3">
      <w:r>
        <w:separator/>
      </w:r>
    </w:p>
  </w:footnote>
  <w:footnote w:type="continuationSeparator" w:id="0">
    <w:p w14:paraId="3DDE8061" w14:textId="77777777" w:rsidR="007231E3" w:rsidRDefault="007231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069DB" w14:textId="77777777" w:rsidR="00415892" w:rsidRDefault="007231E3">
    <w:pPr>
      <w:pBdr>
        <w:bottom w:val="single" w:sz="6" w:space="4" w:color="F7941D"/>
      </w:pBdr>
      <w:jc w:val="right"/>
    </w:pPr>
    <w:r>
      <w:rPr>
        <w:rFonts w:ascii="Noto Sans Semibold" w:eastAsia="Noto Sans Semibold" w:hAnsi="Noto Sans Semibold" w:cs="Noto Sans Semibold"/>
        <w:b/>
        <w:bCs/>
        <w:color w:val="005563"/>
        <w:sz w:val="16"/>
        <w:szCs w:val="16"/>
      </w:rPr>
      <w:t>GEOPHYSICAL INSIGHTS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9E71AA"/>
    <w:multiLevelType w:val="hybridMultilevel"/>
    <w:tmpl w:val="AFF00A02"/>
    <w:lvl w:ilvl="0" w:tplc="4D763A90">
      <w:start w:val="1"/>
      <w:numFmt w:val="bullet"/>
      <w:lvlText w:val="●"/>
      <w:lvlJc w:val="left"/>
      <w:pPr>
        <w:ind w:left="720" w:hanging="360"/>
      </w:pPr>
    </w:lvl>
    <w:lvl w:ilvl="1" w:tplc="EFD68880">
      <w:start w:val="1"/>
      <w:numFmt w:val="bullet"/>
      <w:lvlText w:val="○"/>
      <w:lvlJc w:val="left"/>
      <w:pPr>
        <w:ind w:left="1440" w:hanging="360"/>
      </w:pPr>
    </w:lvl>
    <w:lvl w:ilvl="2" w:tplc="020CFCF0">
      <w:start w:val="1"/>
      <w:numFmt w:val="bullet"/>
      <w:lvlText w:val="■"/>
      <w:lvlJc w:val="left"/>
      <w:pPr>
        <w:ind w:left="2160" w:hanging="360"/>
      </w:pPr>
    </w:lvl>
    <w:lvl w:ilvl="3" w:tplc="36362832">
      <w:start w:val="1"/>
      <w:numFmt w:val="bullet"/>
      <w:lvlText w:val="●"/>
      <w:lvlJc w:val="left"/>
      <w:pPr>
        <w:ind w:left="2880" w:hanging="360"/>
      </w:pPr>
    </w:lvl>
    <w:lvl w:ilvl="4" w:tplc="599E86F6">
      <w:start w:val="1"/>
      <w:numFmt w:val="bullet"/>
      <w:lvlText w:val="○"/>
      <w:lvlJc w:val="left"/>
      <w:pPr>
        <w:ind w:left="3600" w:hanging="360"/>
      </w:pPr>
    </w:lvl>
    <w:lvl w:ilvl="5" w:tplc="0728EF84">
      <w:start w:val="1"/>
      <w:numFmt w:val="bullet"/>
      <w:lvlText w:val="■"/>
      <w:lvlJc w:val="left"/>
      <w:pPr>
        <w:ind w:left="4320" w:hanging="360"/>
      </w:pPr>
    </w:lvl>
    <w:lvl w:ilvl="6" w:tplc="2042F038">
      <w:start w:val="1"/>
      <w:numFmt w:val="bullet"/>
      <w:lvlText w:val="●"/>
      <w:lvlJc w:val="left"/>
      <w:pPr>
        <w:ind w:left="5040" w:hanging="360"/>
      </w:pPr>
    </w:lvl>
    <w:lvl w:ilvl="7" w:tplc="344E1D98">
      <w:start w:val="1"/>
      <w:numFmt w:val="bullet"/>
      <w:lvlText w:val="●"/>
      <w:lvlJc w:val="left"/>
      <w:pPr>
        <w:ind w:left="5760" w:hanging="360"/>
      </w:pPr>
    </w:lvl>
    <w:lvl w:ilvl="8" w:tplc="9062A082">
      <w:start w:val="1"/>
      <w:numFmt w:val="bullet"/>
      <w:lvlText w:val="●"/>
      <w:lvlJc w:val="left"/>
      <w:pPr>
        <w:ind w:left="6480" w:hanging="360"/>
      </w:pPr>
    </w:lvl>
  </w:abstractNum>
  <w:abstractNum w:abstractNumId="1" w15:restartNumberingAfterBreak="0">
    <w:nsid w:val="41E079ED"/>
    <w:multiLevelType w:val="hybridMultilevel"/>
    <w:tmpl w:val="7CE246BA"/>
    <w:lvl w:ilvl="0" w:tplc="BEBCAD88">
      <w:start w:val="1"/>
      <w:numFmt w:val="decimal"/>
      <w:lvlText w:val="%1."/>
      <w:lvlJc w:val="left"/>
      <w:pPr>
        <w:ind w:left="460" w:hanging="260"/>
      </w:pPr>
    </w:lvl>
    <w:lvl w:ilvl="1" w:tplc="EFB235D0">
      <w:numFmt w:val="decimal"/>
      <w:lvlText w:val=""/>
      <w:lvlJc w:val="left"/>
    </w:lvl>
    <w:lvl w:ilvl="2" w:tplc="C1A08EB0">
      <w:numFmt w:val="decimal"/>
      <w:lvlText w:val=""/>
      <w:lvlJc w:val="left"/>
    </w:lvl>
    <w:lvl w:ilvl="3" w:tplc="A0B49C1A">
      <w:numFmt w:val="decimal"/>
      <w:lvlText w:val=""/>
      <w:lvlJc w:val="left"/>
    </w:lvl>
    <w:lvl w:ilvl="4" w:tplc="08DC5BB8">
      <w:numFmt w:val="decimal"/>
      <w:lvlText w:val=""/>
      <w:lvlJc w:val="left"/>
    </w:lvl>
    <w:lvl w:ilvl="5" w:tplc="0F80F50C">
      <w:numFmt w:val="decimal"/>
      <w:lvlText w:val=""/>
      <w:lvlJc w:val="left"/>
    </w:lvl>
    <w:lvl w:ilvl="6" w:tplc="5B82F862">
      <w:numFmt w:val="decimal"/>
      <w:lvlText w:val=""/>
      <w:lvlJc w:val="left"/>
    </w:lvl>
    <w:lvl w:ilvl="7" w:tplc="8E4C96CA">
      <w:numFmt w:val="decimal"/>
      <w:lvlText w:val=""/>
      <w:lvlJc w:val="left"/>
    </w:lvl>
    <w:lvl w:ilvl="8" w:tplc="55680DC2">
      <w:numFmt w:val="decimal"/>
      <w:lvlText w:val=""/>
      <w:lvlJc w:val="left"/>
    </w:lvl>
  </w:abstractNum>
  <w:num w:numId="1" w16cid:durableId="155531240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892"/>
    <w:rsid w:val="000B1CE4"/>
    <w:rsid w:val="00415892"/>
    <w:rsid w:val="007231E3"/>
    <w:rsid w:val="00820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87CAC"/>
  <w15:docId w15:val="{C9395409-50DE-405F-ADCE-B5E9AEB78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w:eastAsia="Noto Sans" w:hAnsi="Noto Sans" w:cs="Noto Sans"/>
        <w:color w:val="404040"/>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B94C3D7D18404EB9EDA34C6F643902" ma:contentTypeVersion="15" ma:contentTypeDescription="Create a new document." ma:contentTypeScope="" ma:versionID="ca6ba3b48d9581b84c0de19bcc588663">
  <xsd:schema xmlns:xsd="http://www.w3.org/2001/XMLSchema" xmlns:xs="http://www.w3.org/2001/XMLSchema" xmlns:p="http://schemas.microsoft.com/office/2006/metadata/properties" xmlns:ns1="http://schemas.microsoft.com/sharepoint/v3" xmlns:ns2="a3793cd3-aa5e-49d4-8076-3e0ba460a571" xmlns:ns3="302211b4-3052-46c5-b506-1b7ac79c3352" targetNamespace="http://schemas.microsoft.com/office/2006/metadata/properties" ma:root="true" ma:fieldsID="7ebc9b5001758982902010b4b2617f7c" ns1:_="" ns2:_="" ns3:_="">
    <xsd:import namespace="http://schemas.microsoft.com/sharepoint/v3"/>
    <xsd:import namespace="a3793cd3-aa5e-49d4-8076-3e0ba460a571"/>
    <xsd:import namespace="302211b4-3052-46c5-b506-1b7ac79c3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793cd3-aa5e-49d4-8076-3e0ba460a5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061820c-3b27-4bf0-98ef-7304ee484e65"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2211b4-3052-46c5-b506-1b7ac79c3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b368d5c-8a3e-4219-9b50-2a70c44fcf40}" ma:internalName="TaxCatchAll" ma:showField="CatchAllData" ma:web="302211b4-3052-46c5-b506-1b7ac79c3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302211b4-3052-46c5-b506-1b7ac79c3352" xsi:nil="true"/>
    <_ip_UnifiedCompliancePolicyProperties xmlns="http://schemas.microsoft.com/sharepoint/v3" xsi:nil="true"/>
    <lcf76f155ced4ddcb4097134ff3c332f xmlns="a3793cd3-aa5e-49d4-8076-3e0ba460a5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253E89-D7E5-48A8-BB5D-2DD18EE0FF2C}"/>
</file>

<file path=customXml/itemProps2.xml><?xml version="1.0" encoding="utf-8"?>
<ds:datastoreItem xmlns:ds="http://schemas.openxmlformats.org/officeDocument/2006/customXml" ds:itemID="{C2B332C8-A1AD-4011-AE8A-CB705415A774}"/>
</file>

<file path=customXml/itemProps3.xml><?xml version="1.0" encoding="utf-8"?>
<ds:datastoreItem xmlns:ds="http://schemas.openxmlformats.org/officeDocument/2006/customXml" ds:itemID="{B1A13CBF-5826-42C6-AB6E-1B65489BFB55}"/>
</file>

<file path=docProps/app.xml><?xml version="1.0" encoding="utf-8"?>
<Properties xmlns="http://schemas.openxmlformats.org/officeDocument/2006/extended-properties" xmlns:vt="http://schemas.openxmlformats.org/officeDocument/2006/docPropsVTypes">
  <Template>Normal.dotm</Template>
  <TotalTime>1</TotalTime>
  <Pages>4</Pages>
  <Words>1357</Words>
  <Characters>7739</Characters>
  <Application>Microsoft Office Word</Application>
  <DocSecurity>0</DocSecurity>
  <Lines>64</Lines>
  <Paragraphs>18</Paragraphs>
  <ScaleCrop>false</ScaleCrop>
  <Company/>
  <LinksUpToDate>false</LinksUpToDate>
  <CharactersWithSpaces>9078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Graviss</cp:lastModifiedBy>
  <cp:revision>2</cp:revision>
  <dcterms:created xsi:type="dcterms:W3CDTF">2026-08-05T19:32:00Z</dcterms:created>
  <dcterms:modified xsi:type="dcterms:W3CDTF">2026-08-05T19:32:00Z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0x010100CFB94C3D7D18404EB9EDA34C6F643902</vt:lpwstr>
  </property>
</Properties>
</file>