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4E4BA" w14:textId="77777777" w:rsidR="00F967B6" w:rsidRDefault="00E25B46">
      <w:pPr>
        <w:spacing w:before="400" w:after="500"/>
      </w:pPr>
      <w:r>
        <w:rPr>
          <w:noProof/>
        </w:rPr>
        <w:drawing>
          <wp:inline distT="0" distB="0" distL="0" distR="0" wp14:anchorId="5796A221" wp14:editId="48D6BB08">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4A377C7A" w14:textId="77777777" w:rsidR="00F967B6" w:rsidRDefault="00E25B46">
      <w:pPr>
        <w:spacing w:before="800" w:after="120"/>
      </w:pPr>
      <w:proofErr w:type="spellStart"/>
      <w:r>
        <w:rPr>
          <w:rFonts w:ascii="Noto Sans Semibold" w:eastAsia="Noto Sans Semibold" w:hAnsi="Noto Sans Semibold" w:cs="Noto Sans Semibold"/>
          <w:b/>
          <w:bCs/>
          <w:color w:val="005563"/>
          <w:sz w:val="56"/>
          <w:szCs w:val="56"/>
        </w:rPr>
        <w:t>Geobodies</w:t>
      </w:r>
      <w:proofErr w:type="spellEnd"/>
      <w:r>
        <w:rPr>
          <w:rFonts w:ascii="Noto Sans Semibold" w:eastAsia="Noto Sans Semibold" w:hAnsi="Noto Sans Semibold" w:cs="Noto Sans Semibold"/>
          <w:b/>
          <w:bCs/>
          <w:color w:val="005563"/>
          <w:sz w:val="56"/>
          <w:szCs w:val="56"/>
        </w:rPr>
        <w:t>, DHI, and Thin Beds</w:t>
      </w:r>
    </w:p>
    <w:p w14:paraId="4DAF240B" w14:textId="77777777" w:rsidR="00F967B6" w:rsidRDefault="00F967B6">
      <w:pPr>
        <w:pBdr>
          <w:bottom w:val="single" w:sz="18" w:space="8" w:color="F7941D"/>
        </w:pBdr>
        <w:spacing w:after="300"/>
      </w:pPr>
    </w:p>
    <w:p w14:paraId="53069E06" w14:textId="77777777" w:rsidR="00F967B6" w:rsidRDefault="00E25B46">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3FE938D3" w14:textId="77777777" w:rsidR="00F967B6" w:rsidRDefault="00E25B46">
      <w:r>
        <w:br w:type="page"/>
      </w:r>
    </w:p>
    <w:p w14:paraId="7135DF06" w14:textId="77777777" w:rsidR="00F967B6" w:rsidRDefault="00E25B46">
      <w:pPr>
        <w:pStyle w:val="Heading2"/>
        <w:spacing w:before="320" w:after="140"/>
      </w:pPr>
      <w:r>
        <w:rPr>
          <w:rFonts w:ascii="Noto Sans Semibold" w:eastAsia="Noto Sans Semibold" w:hAnsi="Noto Sans Semibold" w:cs="Noto Sans Semibold"/>
          <w:b/>
          <w:bCs/>
          <w:color w:val="0080A8"/>
          <w:sz w:val="30"/>
          <w:szCs w:val="30"/>
        </w:rPr>
        <w:lastRenderedPageBreak/>
        <w:t>Overview</w:t>
      </w:r>
    </w:p>
    <w:p w14:paraId="3AB9EA5B" w14:textId="77777777" w:rsidR="00F967B6" w:rsidRDefault="00E25B46">
      <w:pPr>
        <w:spacing w:after="160"/>
      </w:pPr>
      <w:r>
        <w:t xml:space="preserve">This session focuses on practical examples of </w:t>
      </w:r>
      <w:proofErr w:type="spellStart"/>
      <w:r>
        <w:t>geobodies</w:t>
      </w:r>
      <w:proofErr w:type="spellEnd"/>
      <w:r>
        <w:t xml:space="preserve"> helping with better detection and definition of DHIs (direct hydrocarbon indicators) in thin </w:t>
      </w:r>
      <w:proofErr w:type="gramStart"/>
      <w:r>
        <w:t>beds, and</w:t>
      </w:r>
      <w:proofErr w:type="gramEnd"/>
      <w:r>
        <w:t xml:space="preserve"> briefly covers statistics and probability with respect to choosing a reservoir model.</w:t>
      </w:r>
    </w:p>
    <w:p w14:paraId="09608499" w14:textId="77777777" w:rsidR="00F967B6" w:rsidRDefault="00E25B46">
      <w:pPr>
        <w:pStyle w:val="Heading2"/>
        <w:spacing w:before="320" w:after="140"/>
      </w:pPr>
      <w:r>
        <w:rPr>
          <w:rFonts w:ascii="Noto Sans Semibold" w:eastAsia="Noto Sans Semibold" w:hAnsi="Noto Sans Semibold" w:cs="Noto Sans Semibold"/>
          <w:b/>
          <w:bCs/>
          <w:color w:val="0080A8"/>
          <w:sz w:val="30"/>
          <w:szCs w:val="30"/>
        </w:rPr>
        <w:t>The Teardrop Bright Spot Example</w:t>
      </w:r>
    </w:p>
    <w:p w14:paraId="56CB8566" w14:textId="77777777" w:rsidR="00F967B6" w:rsidRDefault="00E25B46">
      <w:pPr>
        <w:spacing w:after="160"/>
      </w:pPr>
      <w:r>
        <w:t xml:space="preserve">Revisiting the earlier blender-versus-classifier comparison, a graben bounded by two faults contains a strong "teardrop" bright-spot amplitude anomaly. Starting from a single winning neuron, the associated </w:t>
      </w:r>
      <w:proofErr w:type="spellStart"/>
      <w:r>
        <w:t>geobodies</w:t>
      </w:r>
      <w:proofErr w:type="spellEnd"/>
      <w:r>
        <w:t xml:space="preserve"> (continuous, connected regions sharing that winning neuron) are identified through </w:t>
      </w:r>
      <w:proofErr w:type="spellStart"/>
      <w:r>
        <w:t>geoscanning</w:t>
      </w:r>
      <w:proofErr w:type="spellEnd"/>
      <w:r>
        <w:t xml:space="preserve">. </w:t>
      </w:r>
      <w:proofErr w:type="spellStart"/>
      <w:r>
        <w:t>Geoscanning</w:t>
      </w:r>
      <w:proofErr w:type="spellEnd"/>
      <w:r>
        <w:t xml:space="preserve"> connectivity can be evaluated at three levels: six-point, 14-point, or 26-point connectivity, depending on which is selected for the analysis. A simple </w:t>
      </w:r>
      <w:proofErr w:type="spellStart"/>
      <w:r>
        <w:t>geobody</w:t>
      </w:r>
      <w:proofErr w:type="spellEnd"/>
      <w:r>
        <w:t xml:space="preserve"> may be only part of the full teardrop feature; interpreting two adjacent simple </w:t>
      </w:r>
      <w:proofErr w:type="spellStart"/>
      <w:r>
        <w:t>geobodies</w:t>
      </w:r>
      <w:proofErr w:type="spellEnd"/>
      <w:r>
        <w:t xml:space="preserve"> (for example, a green one and a white one, in one color scheme) together as a single combined "teardrop </w:t>
      </w:r>
      <w:proofErr w:type="spellStart"/>
      <w:r>
        <w:t>geobody</w:t>
      </w:r>
      <w:proofErr w:type="spellEnd"/>
      <w:r>
        <w:t>" is an interpretive step perform</w:t>
      </w:r>
      <w:r>
        <w:t xml:space="preserve">ed by the geoscientist, who can also edit these </w:t>
      </w:r>
      <w:proofErr w:type="spellStart"/>
      <w:r>
        <w:t>geobodies</w:t>
      </w:r>
      <w:proofErr w:type="spellEnd"/>
      <w:r>
        <w:t xml:space="preserve"> by adding or removing samples as needed. Visualizing the sample count within each simple </w:t>
      </w:r>
      <w:proofErr w:type="spellStart"/>
      <w:r>
        <w:t>geobody</w:t>
      </w:r>
      <w:proofErr w:type="spellEnd"/>
      <w:r>
        <w:t xml:space="preserve"> allows quantification of the entire interpreted teardrop feature.</w:t>
      </w:r>
    </w:p>
    <w:p w14:paraId="58C96D26" w14:textId="77777777" w:rsidR="00F967B6" w:rsidRDefault="00E25B46">
      <w:pPr>
        <w:pStyle w:val="Heading2"/>
        <w:spacing w:before="320" w:after="140"/>
      </w:pPr>
      <w:r>
        <w:rPr>
          <w:rFonts w:ascii="Noto Sans Semibold" w:eastAsia="Noto Sans Semibold" w:hAnsi="Noto Sans Semibold" w:cs="Noto Sans Semibold"/>
          <w:b/>
          <w:bCs/>
          <w:color w:val="0080A8"/>
          <w:sz w:val="30"/>
          <w:szCs w:val="30"/>
        </w:rPr>
        <w:t>Fluid Contacts in the Gulf of Mexico</w:t>
      </w:r>
    </w:p>
    <w:p w14:paraId="426D3581" w14:textId="77777777" w:rsidR="00F967B6" w:rsidRDefault="00E25B46">
      <w:pPr>
        <w:spacing w:after="160"/>
      </w:pPr>
      <w:r>
        <w:t>A study led by Rocky Roden (in collaboration with Deborah and others) examined a relatively shallow bright spot in the Gulf of Mexico, with amplitude and time-contour data showing conformance of amplitude to structure, a classic DHI indicator. Two wells (A1 and A2) were drilled based on this conformance.</w:t>
      </w:r>
    </w:p>
    <w:p w14:paraId="72AA6283" w14:textId="77777777" w:rsidR="00F967B6" w:rsidRDefault="00E25B46">
      <w:pPr>
        <w:spacing w:after="160"/>
      </w:pPr>
      <w:r>
        <w:t>Running SOM at multiple neuron topologies (5x5, 8x8, roughly 10x10), a probability cutoff was applied: samples with a fit probability above a chosen threshold (for example, 1%) were colored, while samples below the threshold were shown in gray. The resulting low-probability boundary closely matched a hand-drawn amplitude-based anomaly edge, and in this case appeared to define that edge even more precisely. This result held consistently across a range of cutoff values tested (0.1%, 0.01%, and above 1%), prov</w:t>
      </w:r>
      <w:r>
        <w:t>iding evidence that, with a suitable attribute selection, the low-probability boundary reliably marks the true edge of the anomaly, useful for both fluid contact identification and reservoir volumetric calculations.</w:t>
      </w:r>
    </w:p>
    <w:p w14:paraId="0D9234D4" w14:textId="77777777" w:rsidR="00F967B6" w:rsidRDefault="00E25B46">
      <w:pPr>
        <w:spacing w:after="160"/>
      </w:pPr>
      <w:r>
        <w:t>The Roden and Chan (Qingwen Chan) paper (First Break) lists DHI characteristics for both Class II and Class III AVO anomalies, including: conformance of the anomaly to down-dip structure, consistency of the anomaly across the mapped target area, appropriate AVO behavior for the anomaly class, and anomalous character of the event relative to the same event outside closure. These characteristics are informed by a large, multi-year industry consortium study spanning several hundred wells (both successful and u</w:t>
      </w:r>
      <w:r>
        <w:t>nsuccessful), used to help calibrate probability of geologic success for new prospects.</w:t>
      </w:r>
    </w:p>
    <w:p w14:paraId="3D015898" w14:textId="77777777" w:rsidR="00F967B6" w:rsidRDefault="00E25B46">
      <w:pPr>
        <w:pStyle w:val="Heading3"/>
        <w:spacing w:before="240" w:after="100"/>
      </w:pPr>
      <w:r>
        <w:rPr>
          <w:rFonts w:ascii="Noto Sans Semibold" w:eastAsia="Noto Sans Semibold" w:hAnsi="Noto Sans Semibold" w:cs="Noto Sans Semibold"/>
          <w:b/>
          <w:bCs/>
          <w:color w:val="005563"/>
        </w:rPr>
        <w:t>Detailed Resolution of Fluid Contacts</w:t>
      </w:r>
    </w:p>
    <w:p w14:paraId="77B0A62B" w14:textId="77777777" w:rsidR="00F967B6" w:rsidRDefault="00E25B46">
      <w:pPr>
        <w:spacing w:after="160"/>
      </w:pPr>
      <w:r>
        <w:t xml:space="preserve">At one reservoir example, SOM analysis using several specific winning neurons (15, 20, 25) tracked the </w:t>
      </w:r>
      <w:proofErr w:type="gramStart"/>
      <w:r>
        <w:t>gas-oil</w:t>
      </w:r>
      <w:proofErr w:type="gramEnd"/>
      <w:r>
        <w:t xml:space="preserve"> and oil-water contacts well; an undrilled anomaly was identified further south. Isolating just those key neurons showed clearly defined edges, illustrating strong resolution and tracking capability, both for the fluid contacts themselves and the reservoir boundary overall. A </w:t>
      </w:r>
      <w:proofErr w:type="gramStart"/>
      <w:r>
        <w:t>cross-line</w:t>
      </w:r>
      <w:proofErr w:type="gramEnd"/>
      <w:r>
        <w:t xml:space="preserve"> view showed both the </w:t>
      </w:r>
      <w:proofErr w:type="gramStart"/>
      <w:r>
        <w:t>gas-oil</w:t>
      </w:r>
      <w:proofErr w:type="gramEnd"/>
      <w:r>
        <w:t xml:space="preserve"> and oil-water contacts clearly, later confirmed by well logs at both </w:t>
      </w:r>
      <w:r>
        <w:lastRenderedPageBreak/>
        <w:t>wells, resolving detail well below classical quarter-wavelength resolution limits. This demonstrates that using multipl</w:t>
      </w:r>
      <w:r>
        <w:t xml:space="preserve">e, simultaneous attributes (every sample carrying its full attribute vector at once) can resolve finer reservoir detail and yield higher accuracy than was previously available from amplitude data alone. A separate map-view example (wells A and B, using specific winning neurons and a probability cutoff below 30%) showed similarly clean, quantitative edge definition down to the sample level; seismic data is commonly resampled (for example, from 2 </w:t>
      </w:r>
      <w:proofErr w:type="spellStart"/>
      <w:r>
        <w:t>ms</w:t>
      </w:r>
      <w:proofErr w:type="spellEnd"/>
      <w:r>
        <w:t xml:space="preserve"> to 1 </w:t>
      </w:r>
      <w:proofErr w:type="spellStart"/>
      <w:r>
        <w:t>ms</w:t>
      </w:r>
      <w:proofErr w:type="spellEnd"/>
      <w:r>
        <w:t xml:space="preserve">, or 4 </w:t>
      </w:r>
      <w:proofErr w:type="spellStart"/>
      <w:r>
        <w:t>ms</w:t>
      </w:r>
      <w:proofErr w:type="spellEnd"/>
      <w:r>
        <w:t xml:space="preserve"> to 2 </w:t>
      </w:r>
      <w:proofErr w:type="spellStart"/>
      <w:r>
        <w:t>ms</w:t>
      </w:r>
      <w:proofErr w:type="spellEnd"/>
      <w:r>
        <w:t>) to support this level of detail, t</w:t>
      </w:r>
      <w:r>
        <w:t>hough resampling has practical limits before introducing noise.</w:t>
      </w:r>
    </w:p>
    <w:p w14:paraId="4EE3AF7D" w14:textId="77777777" w:rsidR="00F967B6" w:rsidRDefault="00E25B46">
      <w:pPr>
        <w:pStyle w:val="Heading2"/>
        <w:spacing w:before="320" w:after="140"/>
      </w:pPr>
      <w:r>
        <w:rPr>
          <w:rFonts w:ascii="Noto Sans Semibold" w:eastAsia="Noto Sans Semibold" w:hAnsi="Noto Sans Semibold" w:cs="Noto Sans Semibold"/>
          <w:b/>
          <w:bCs/>
          <w:color w:val="0080A8"/>
          <w:sz w:val="30"/>
          <w:szCs w:val="30"/>
        </w:rPr>
        <w:t>Eagle Ford Sweet Spot Study</w:t>
      </w:r>
    </w:p>
    <w:p w14:paraId="0FD02F98" w14:textId="77777777" w:rsidR="00F967B6" w:rsidRDefault="00E25B46">
      <w:pPr>
        <w:spacing w:after="160"/>
      </w:pPr>
      <w:r>
        <w:t>Patricia Santagrossi analyzed a roughly 200-square-mile 3D survey in an Eagle Ford play, targeting Eagle Ford sweet spots within a roughly 100-millisecond analysis window bounded by the Austin Chalk above and the Buda below. The Eagle Ford Shale objective itself is about 14 milliseconds (a little over 100 feet), the broader Eagle Ford group is about 28 milliseconds (about 260 feet), and the overall Eagle Ford influence spans about 350 feet, all situated just above the Buda and well below the Austin Chalk.</w:t>
      </w:r>
    </w:p>
    <w:p w14:paraId="40BEA440" w14:textId="77777777" w:rsidR="00F967B6" w:rsidRDefault="00E25B46">
      <w:pPr>
        <w:spacing w:after="160"/>
      </w:pPr>
      <w:r>
        <w:t>Two wells (a vertical pilot hole and a deviated lateral) penetrated the target interval at one location; results from this analysis were computed entirely from seismic attributes alone, without being forced to match well data in any way, so the correlation with borehole information observed afterward serves as independent corroboration rather than a calibration.</w:t>
      </w:r>
    </w:p>
    <w:p w14:paraId="6CAFF068" w14:textId="77777777" w:rsidR="00F967B6" w:rsidRDefault="00E25B46">
      <w:pPr>
        <w:spacing w:after="160"/>
      </w:pPr>
      <w:r>
        <w:t>Zooming into one well, specific winning neurons correlated closely with wireline log responses: for example, neuron 55 correlated with an ash bed, neurons 53/54/60 correlated with the high-resistivity target ("sweet spot") interval, and neurons 63/64 correlated with a lower-resistivity zone. This allowed the interpreter to relate SOM results directly to wireline responses and begin mapping sweet spot extent. Investigating a wavy pattern in one winning neuron's presence/absence, the interpreter (Patricia) co</w:t>
      </w:r>
      <w:r>
        <w:t>ncluded the feature likely represented slump features rather than unconformities, since the pattern could be tracked continuously up and down through the section. In roughly 150 vertical feet of section at this well, 24 distinct natural clusters (winning neurons) were identified using an 8x8 SOM topology.</w:t>
      </w:r>
    </w:p>
    <w:p w14:paraId="34A6B8B9" w14:textId="77777777" w:rsidR="00F967B6" w:rsidRDefault="00E25B46">
      <w:pPr>
        <w:pStyle w:val="Heading3"/>
        <w:spacing w:before="240" w:after="100"/>
      </w:pPr>
      <w:r>
        <w:rPr>
          <w:rFonts w:ascii="Noto Sans Semibold" w:eastAsia="Noto Sans Semibold" w:hAnsi="Noto Sans Semibold" w:cs="Noto Sans Semibold"/>
          <w:b/>
          <w:bCs/>
          <w:color w:val="005563"/>
        </w:rPr>
        <w:t>Regional Extension</w:t>
      </w:r>
    </w:p>
    <w:p w14:paraId="7B095D42" w14:textId="77777777" w:rsidR="00F967B6" w:rsidRDefault="00E25B46">
      <w:pPr>
        <w:spacing w:after="160"/>
      </w:pPr>
      <w:r>
        <w:t xml:space="preserve">Extending the analysis regionally from this well, the up-dip area was found to be more carbonate-prone with </w:t>
      </w:r>
      <w:proofErr w:type="spellStart"/>
      <w:r>
        <w:t>downlap</w:t>
      </w:r>
      <w:proofErr w:type="spellEnd"/>
      <w:r>
        <w:t xml:space="preserve"> geometry, while the down-dip area was more clastic with onlap facies; the same winning neurons identified at the initial well were found to track consistently with wireline curves at other wells across the survey, including wells with X-ray diffraction data confirming lithology. This supported building a Wheeler diagram for the upper Eagle Ford across roughly 210 square miles, tracking how relevant neurons (ashy beds in the north, sweet-spot neurons 57 through 60 progressing south, debris aprons ass</w:t>
      </w:r>
      <w:r>
        <w:t>ociated with other neuron ranges, and so on) varied spatially across the survey. In total, 41,526 classified seismic time samples were identified as sweet spot material, associated primarily with neurons 57 and 58 (and neighboring neurons 59 and 60).</w:t>
      </w:r>
    </w:p>
    <w:p w14:paraId="314B94D4" w14:textId="77777777" w:rsidR="00F967B6" w:rsidRDefault="00E25B46">
      <w:pPr>
        <w:spacing w:after="160"/>
      </w:pPr>
      <w:r>
        <w:t xml:space="preserve">Reviewing the full set of winning neurons individually and correlating each with known geology, the interpretation grouped neurons into roughly 16 associated with Eagle Ford shale and 10 associated with other classes, out of 64 total winning neurons; not every winning neuron corresponds to real geology, but each is worth examining individually. From this analysis, a full </w:t>
      </w:r>
      <w:r>
        <w:lastRenderedPageBreak/>
        <w:t xml:space="preserve">depositional history for the Eagle Ford group across this survey was developed, based entirely on auto-picked simple </w:t>
      </w:r>
      <w:proofErr w:type="spellStart"/>
      <w:r>
        <w:t>geobodies</w:t>
      </w:r>
      <w:proofErr w:type="spellEnd"/>
      <w:r>
        <w:t>.</w:t>
      </w:r>
    </w:p>
    <w:p w14:paraId="3B995990" w14:textId="77777777" w:rsidR="00F967B6" w:rsidRDefault="00E25B46">
      <w:pPr>
        <w:spacing w:after="160"/>
      </w:pPr>
      <w:r>
        <w:t xml:space="preserve">A three-dimensional display of three specific neurons (57, 58, 60) showed mixed results against actual well penetrations: some wells missed the </w:t>
      </w:r>
      <w:proofErr w:type="spellStart"/>
      <w:r>
        <w:t>geobody</w:t>
      </w:r>
      <w:proofErr w:type="spellEnd"/>
      <w:r>
        <w:t xml:space="preserve"> entirely, some were near the edge, and some hit directly on target. This analysis was conducted after drilling had already </w:t>
      </w:r>
      <w:proofErr w:type="gramStart"/>
      <w:r>
        <w:t>occurred, and</w:t>
      </w:r>
      <w:proofErr w:type="gramEnd"/>
      <w:r>
        <w:t xml:space="preserve"> interpreted </w:t>
      </w:r>
      <w:proofErr w:type="spellStart"/>
      <w:r>
        <w:t>geobodies</w:t>
      </w:r>
      <w:proofErr w:type="spellEnd"/>
      <w:r>
        <w:t xml:space="preserve"> for the sweet spot ultimately reduced to three key winning neurons; part of the discrepancy with well results was attributed to limited log sampling in key wells, and the analysis also identified sweet spots that appear to have been missed by the original drilling program.</w:t>
      </w:r>
    </w:p>
    <w:p w14:paraId="050DCD45" w14:textId="77777777" w:rsidR="00F967B6" w:rsidRDefault="00E25B46">
      <w:pPr>
        <w:pStyle w:val="Heading2"/>
        <w:spacing w:before="320" w:after="140"/>
      </w:pPr>
      <w:r>
        <w:rPr>
          <w:rFonts w:ascii="Noto Sans Semibold" w:eastAsia="Noto Sans Semibold" w:hAnsi="Noto Sans Semibold" w:cs="Noto Sans Semibold"/>
          <w:b/>
          <w:bCs/>
          <w:color w:val="0080A8"/>
          <w:sz w:val="30"/>
          <w:szCs w:val="30"/>
        </w:rPr>
        <w:t>The Role of Decision-Making</w:t>
      </w:r>
    </w:p>
    <w:p w14:paraId="7D888F61" w14:textId="77777777" w:rsidR="00F967B6" w:rsidRDefault="00E25B46">
      <w:pPr>
        <w:spacing w:after="160"/>
      </w:pPr>
      <w:r>
        <w:t>Interpretation work is fundamentally about making decisions, and geoscientists should recognize their opinions as valuable inputs to that process, not routine paperwork to minimize. While team input is valuable, purely voting on decisions is treated with some skepticism, since meaningful discoveries are typically first spotted by one individual and then evaluated and refined by the broader team, rather than arrived at simultaneously by consensus.</w:t>
      </w:r>
    </w:p>
    <w:p w14:paraId="7AF168BB" w14:textId="77777777" w:rsidR="00F967B6" w:rsidRDefault="00E25B46">
      <w:pPr>
        <w:spacing w:after="160"/>
      </w:pPr>
      <w:r>
        <w:t xml:space="preserve">Relying purely on analog reasoning (assuming a new prospect will resemble a previously successful nearby prospect) is convenient but lacks rigorous scientific grounding. Effective decision-making blends analog reasoning, hard science, common sense, and intuition; strong geoscientists integrate </w:t>
      </w:r>
      <w:proofErr w:type="gramStart"/>
      <w:r>
        <w:t>all of</w:t>
      </w:r>
      <w:proofErr w:type="gramEnd"/>
      <w:r>
        <w:t xml:space="preserve"> these rather than relying on any single approach, and a solid grasp of </w:t>
      </w:r>
      <w:proofErr w:type="gramStart"/>
      <w:r>
        <w:t>machine learning essentials</w:t>
      </w:r>
      <w:proofErr w:type="gramEnd"/>
      <w:r>
        <w:t xml:space="preserve"> (without needing formal statistics or data science credentials) is increasingly part of that blend.</w:t>
      </w:r>
    </w:p>
    <w:p w14:paraId="1A4BCEBD" w14:textId="77777777" w:rsidR="00F967B6" w:rsidRDefault="00E25B46">
      <w:pPr>
        <w:pStyle w:val="Heading3"/>
        <w:spacing w:before="240" w:after="100"/>
      </w:pPr>
      <w:r>
        <w:rPr>
          <w:rFonts w:ascii="Noto Sans Semibold" w:eastAsia="Noto Sans Semibold" w:hAnsi="Noto Sans Semibold" w:cs="Noto Sans Semibold"/>
          <w:b/>
          <w:bCs/>
          <w:color w:val="005563"/>
        </w:rPr>
        <w:t>The Logical Role of Statistics in Decision-Making</w:t>
      </w:r>
    </w:p>
    <w:p w14:paraId="6946E56D" w14:textId="77777777" w:rsidR="00F967B6" w:rsidRDefault="00E25B46">
      <w:pPr>
        <w:spacing w:after="160"/>
      </w:pPr>
      <w:r>
        <w:t>The reasoning chain: if the right question is asked, and the data is statistical in nature (essentially all real-world data is), and the role of statistics is to help formulate suitable models and select the best model among candidates, then a well-constructed model that still addresses the original question is the appropriate one to use for making predictions, provided it withstands scrutiny (and can be compared against alternative models if challenged).</w:t>
      </w:r>
    </w:p>
    <w:p w14:paraId="5FDC6C59" w14:textId="77777777" w:rsidR="00F967B6" w:rsidRDefault="00E25B46">
      <w:pPr>
        <w:pStyle w:val="Heading3"/>
        <w:spacing w:before="240" w:after="100"/>
      </w:pPr>
      <w:r>
        <w:rPr>
          <w:rFonts w:ascii="Noto Sans Semibold" w:eastAsia="Noto Sans Semibold" w:hAnsi="Noto Sans Semibold" w:cs="Noto Sans Semibold"/>
          <w:b/>
          <w:bCs/>
          <w:color w:val="005563"/>
        </w:rPr>
        <w:t>The Golden Rules of Statistics</w:t>
      </w:r>
    </w:p>
    <w:p w14:paraId="263585CC" w14:textId="77777777" w:rsidR="00F967B6" w:rsidRDefault="00E25B46">
      <w:pPr>
        <w:pStyle w:val="ListParagraph"/>
        <w:numPr>
          <w:ilvl w:val="0"/>
          <w:numId w:val="2"/>
        </w:numPr>
        <w:spacing w:after="80"/>
      </w:pPr>
      <w:r>
        <w:t>Statistical answers must always be reproducible: the underlying data and algorithms used must be preserved so that results can be rebuilt and verified later.</w:t>
      </w:r>
    </w:p>
    <w:p w14:paraId="6E5AB96D" w14:textId="77777777" w:rsidR="00F967B6" w:rsidRDefault="00E25B46">
      <w:pPr>
        <w:pStyle w:val="ListParagraph"/>
        <w:numPr>
          <w:ilvl w:val="0"/>
          <w:numId w:val="2"/>
        </w:numPr>
        <w:spacing w:after="80"/>
      </w:pPr>
      <w:r>
        <w:t>Statistics must always make sense: sound judgment, grounded in geologic, geophysical, and engineering training and experience, remains essential alongside any statistical result.</w:t>
      </w:r>
    </w:p>
    <w:p w14:paraId="29886E07" w14:textId="77777777" w:rsidR="00F967B6" w:rsidRDefault="00E25B46">
      <w:pPr>
        <w:pStyle w:val="Heading2"/>
        <w:spacing w:before="320" w:after="140"/>
      </w:pPr>
      <w:r>
        <w:rPr>
          <w:rFonts w:ascii="Noto Sans Semibold" w:eastAsia="Noto Sans Semibold" w:hAnsi="Noto Sans Semibold" w:cs="Noto Sans Semibold"/>
          <w:b/>
          <w:bCs/>
          <w:color w:val="0080A8"/>
          <w:sz w:val="30"/>
          <w:szCs w:val="30"/>
        </w:rPr>
        <w:t>What Is Probability?</w:t>
      </w:r>
    </w:p>
    <w:p w14:paraId="71F1DDE1" w14:textId="77777777" w:rsidR="00F967B6" w:rsidRDefault="00E25B46">
      <w:pPr>
        <w:spacing w:after="160"/>
      </w:pPr>
      <w:r>
        <w:t>Probability is described (as precisely as the term reasonably allows) as an indeterminate outcome: without probability, the world would be purely deterministic, with no possibility of success or failure. Probability, P(x), ranges from zero (complete indeterminacy) to one (complete certainty).</w:t>
      </w:r>
    </w:p>
    <w:p w14:paraId="66D9EAAF" w14:textId="77777777" w:rsidR="00F967B6" w:rsidRDefault="00E25B46">
      <w:pPr>
        <w:spacing w:after="160"/>
      </w:pPr>
      <w:r>
        <w:t>Probability can be expressed in different ways:</w:t>
      </w:r>
    </w:p>
    <w:p w14:paraId="510D35C8" w14:textId="77777777" w:rsidR="00F967B6" w:rsidRDefault="00E25B46">
      <w:pPr>
        <w:pStyle w:val="ListParagraph"/>
        <w:numPr>
          <w:ilvl w:val="0"/>
          <w:numId w:val="1"/>
        </w:numPr>
        <w:spacing w:after="80"/>
      </w:pPr>
      <w:r>
        <w:rPr>
          <w:b/>
          <w:bCs/>
          <w:color w:val="005563"/>
        </w:rPr>
        <w:t>As a fraction or odds</w:t>
      </w:r>
      <w:r>
        <w:t xml:space="preserve"> (for example, betting odds on a horse race).</w:t>
      </w:r>
    </w:p>
    <w:p w14:paraId="02D51D51" w14:textId="77777777" w:rsidR="00F967B6" w:rsidRDefault="00E25B46">
      <w:pPr>
        <w:pStyle w:val="ListParagraph"/>
        <w:numPr>
          <w:ilvl w:val="0"/>
          <w:numId w:val="1"/>
        </w:numPr>
        <w:spacing w:after="80"/>
      </w:pPr>
      <w:r>
        <w:rPr>
          <w:b/>
          <w:bCs/>
          <w:color w:val="005563"/>
        </w:rPr>
        <w:lastRenderedPageBreak/>
        <w:t>As a theoretical distribution curve</w:t>
      </w:r>
      <w:r>
        <w:t xml:space="preserve">, such as a Gaussian distribution; Gaussian error distributions are broad and robust and represent a reasonable default starting assumption in an unfamiliar area, though SOM itself makes no assumption of any </w:t>
      </w:r>
      <w:proofErr w:type="gramStart"/>
      <w:r>
        <w:t>particular probability</w:t>
      </w:r>
      <w:proofErr w:type="gramEnd"/>
      <w:r>
        <w:t xml:space="preserve"> distribution.</w:t>
      </w:r>
    </w:p>
    <w:p w14:paraId="44D24FDE" w14:textId="77777777" w:rsidR="00F967B6" w:rsidRDefault="00E25B46">
      <w:pPr>
        <w:pStyle w:val="ListParagraph"/>
        <w:numPr>
          <w:ilvl w:val="0"/>
          <w:numId w:val="1"/>
        </w:numPr>
        <w:spacing w:after="80"/>
      </w:pPr>
      <w:r>
        <w:rPr>
          <w:b/>
          <w:bCs/>
          <w:color w:val="005563"/>
        </w:rPr>
        <w:t>As a histogram</w:t>
      </w:r>
      <w:r>
        <w:t>, built by counting sample occurrences across bins and normalizing by the total sample count, producing values between zero and one.</w:t>
      </w:r>
    </w:p>
    <w:p w14:paraId="534ECE44" w14:textId="77777777" w:rsidR="00F967B6" w:rsidRDefault="00E25B46">
      <w:pPr>
        <w:pStyle w:val="Heading3"/>
        <w:spacing w:before="240" w:after="100"/>
      </w:pPr>
      <w:r>
        <w:rPr>
          <w:rFonts w:ascii="Noto Sans Semibold" w:eastAsia="Noto Sans Semibold" w:hAnsi="Noto Sans Semibold" w:cs="Noto Sans Semibold"/>
          <w:b/>
          <w:bCs/>
          <w:color w:val="005563"/>
        </w:rPr>
        <w:t>Probability Density Functions and Cumulative Distributions</w:t>
      </w:r>
    </w:p>
    <w:p w14:paraId="114BF6A6" w14:textId="77777777" w:rsidR="00F967B6" w:rsidRDefault="00E25B46">
      <w:pPr>
        <w:spacing w:after="160"/>
      </w:pPr>
      <w:r>
        <w:t>A probability density function (PDF) estimates probability from histogram counts using a smoothing approach; the "kernel trick" produces a smooth curve by taking a weighted average of nearby histogram counts, with the degree of smoothing set as an adjustable parameter. Integrating the PDF produces a cumulative distribution function, from which values like P50 (the 50% probability point), P90, and P10 can be read directly, typically reported together as a representative range (P10, P50, P90). At least around</w:t>
      </w:r>
      <w:r>
        <w:t xml:space="preserve"> 20 samples are generally recommended for building a reasonably reliable probability density function.</w:t>
      </w:r>
    </w:p>
    <w:p w14:paraId="2A420005" w14:textId="77777777" w:rsidR="00F967B6" w:rsidRDefault="00E25B46">
      <w:pPr>
        <w:pStyle w:val="Heading2"/>
        <w:spacing w:before="320" w:after="140"/>
      </w:pPr>
      <w:r>
        <w:rPr>
          <w:rFonts w:ascii="Noto Sans Semibold" w:eastAsia="Noto Sans Semibold" w:hAnsi="Noto Sans Semibold" w:cs="Noto Sans Semibold"/>
          <w:b/>
          <w:bCs/>
          <w:color w:val="0080A8"/>
          <w:sz w:val="30"/>
          <w:szCs w:val="30"/>
        </w:rPr>
        <w:t>Summary</w:t>
      </w:r>
    </w:p>
    <w:p w14:paraId="41077EC2" w14:textId="77777777" w:rsidR="00F967B6" w:rsidRDefault="00E25B46">
      <w:pPr>
        <w:spacing w:after="160"/>
      </w:pPr>
      <w:r>
        <w:t xml:space="preserve">This session covered several examples of </w:t>
      </w:r>
      <w:proofErr w:type="spellStart"/>
      <w:r>
        <w:t>geobodies</w:t>
      </w:r>
      <w:proofErr w:type="spellEnd"/>
      <w:r>
        <w:t xml:space="preserve"> helping to better define the extent of a reservoir, including a case where a DHI was resolved with higher resolution than the amplitude volume alone could provide. It also covered the golden rules of statistics (reproducibility, and the requirement that results make sense), along with a brief discussion of probability and the process of selecting the most probable model.</w:t>
      </w:r>
    </w:p>
    <w:sectPr w:rsidR="00F967B6">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5E875" w14:textId="77777777" w:rsidR="00E25B46" w:rsidRDefault="00E25B46">
      <w:r>
        <w:separator/>
      </w:r>
    </w:p>
  </w:endnote>
  <w:endnote w:type="continuationSeparator" w:id="0">
    <w:p w14:paraId="247B2951" w14:textId="77777777" w:rsidR="00E25B46" w:rsidRDefault="00E25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7CB81" w14:textId="77777777" w:rsidR="00F967B6" w:rsidRDefault="00E25B46">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0D2B0F">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ECE1A" w14:textId="77777777" w:rsidR="00E25B46" w:rsidRDefault="00E25B46">
      <w:r>
        <w:separator/>
      </w:r>
    </w:p>
  </w:footnote>
  <w:footnote w:type="continuationSeparator" w:id="0">
    <w:p w14:paraId="70329260" w14:textId="77777777" w:rsidR="00E25B46" w:rsidRDefault="00E25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E38CD" w14:textId="77777777" w:rsidR="00F967B6" w:rsidRDefault="00E25B46">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C2428"/>
    <w:multiLevelType w:val="hybridMultilevel"/>
    <w:tmpl w:val="9F32ABD8"/>
    <w:lvl w:ilvl="0" w:tplc="2D604C10">
      <w:start w:val="1"/>
      <w:numFmt w:val="bullet"/>
      <w:lvlText w:val="●"/>
      <w:lvlJc w:val="left"/>
      <w:pPr>
        <w:ind w:left="720" w:hanging="360"/>
      </w:pPr>
    </w:lvl>
    <w:lvl w:ilvl="1" w:tplc="5BD6BE9E">
      <w:start w:val="1"/>
      <w:numFmt w:val="bullet"/>
      <w:lvlText w:val="○"/>
      <w:lvlJc w:val="left"/>
      <w:pPr>
        <w:ind w:left="1440" w:hanging="360"/>
      </w:pPr>
    </w:lvl>
    <w:lvl w:ilvl="2" w:tplc="251ABC96">
      <w:start w:val="1"/>
      <w:numFmt w:val="bullet"/>
      <w:lvlText w:val="■"/>
      <w:lvlJc w:val="left"/>
      <w:pPr>
        <w:ind w:left="2160" w:hanging="360"/>
      </w:pPr>
    </w:lvl>
    <w:lvl w:ilvl="3" w:tplc="5F78EDB8">
      <w:start w:val="1"/>
      <w:numFmt w:val="bullet"/>
      <w:lvlText w:val="●"/>
      <w:lvlJc w:val="left"/>
      <w:pPr>
        <w:ind w:left="2880" w:hanging="360"/>
      </w:pPr>
    </w:lvl>
    <w:lvl w:ilvl="4" w:tplc="427AAA66">
      <w:start w:val="1"/>
      <w:numFmt w:val="bullet"/>
      <w:lvlText w:val="○"/>
      <w:lvlJc w:val="left"/>
      <w:pPr>
        <w:ind w:left="3600" w:hanging="360"/>
      </w:pPr>
    </w:lvl>
    <w:lvl w:ilvl="5" w:tplc="8B385358">
      <w:start w:val="1"/>
      <w:numFmt w:val="bullet"/>
      <w:lvlText w:val="■"/>
      <w:lvlJc w:val="left"/>
      <w:pPr>
        <w:ind w:left="4320" w:hanging="360"/>
      </w:pPr>
    </w:lvl>
    <w:lvl w:ilvl="6" w:tplc="B3682B0A">
      <w:start w:val="1"/>
      <w:numFmt w:val="bullet"/>
      <w:lvlText w:val="●"/>
      <w:lvlJc w:val="left"/>
      <w:pPr>
        <w:ind w:left="5040" w:hanging="360"/>
      </w:pPr>
    </w:lvl>
    <w:lvl w:ilvl="7" w:tplc="7E98131A">
      <w:start w:val="1"/>
      <w:numFmt w:val="bullet"/>
      <w:lvlText w:val="●"/>
      <w:lvlJc w:val="left"/>
      <w:pPr>
        <w:ind w:left="5760" w:hanging="360"/>
      </w:pPr>
    </w:lvl>
    <w:lvl w:ilvl="8" w:tplc="53E0482A">
      <w:start w:val="1"/>
      <w:numFmt w:val="bullet"/>
      <w:lvlText w:val="●"/>
      <w:lvlJc w:val="left"/>
      <w:pPr>
        <w:ind w:left="6480" w:hanging="360"/>
      </w:pPr>
    </w:lvl>
  </w:abstractNum>
  <w:abstractNum w:abstractNumId="1" w15:restartNumberingAfterBreak="0">
    <w:nsid w:val="60F03252"/>
    <w:multiLevelType w:val="hybridMultilevel"/>
    <w:tmpl w:val="60367D58"/>
    <w:lvl w:ilvl="0" w:tplc="2E9ED296">
      <w:start w:val="1"/>
      <w:numFmt w:val="decimal"/>
      <w:lvlText w:val="%1."/>
      <w:lvlJc w:val="left"/>
      <w:pPr>
        <w:ind w:left="460" w:hanging="260"/>
      </w:pPr>
    </w:lvl>
    <w:lvl w:ilvl="1" w:tplc="5344E5AA">
      <w:numFmt w:val="decimal"/>
      <w:lvlText w:val=""/>
      <w:lvlJc w:val="left"/>
    </w:lvl>
    <w:lvl w:ilvl="2" w:tplc="3472479E">
      <w:numFmt w:val="decimal"/>
      <w:lvlText w:val=""/>
      <w:lvlJc w:val="left"/>
    </w:lvl>
    <w:lvl w:ilvl="3" w:tplc="F350D006">
      <w:numFmt w:val="decimal"/>
      <w:lvlText w:val=""/>
      <w:lvlJc w:val="left"/>
    </w:lvl>
    <w:lvl w:ilvl="4" w:tplc="1E8EA532">
      <w:numFmt w:val="decimal"/>
      <w:lvlText w:val=""/>
      <w:lvlJc w:val="left"/>
    </w:lvl>
    <w:lvl w:ilvl="5" w:tplc="F26A51C0">
      <w:numFmt w:val="decimal"/>
      <w:lvlText w:val=""/>
      <w:lvlJc w:val="left"/>
    </w:lvl>
    <w:lvl w:ilvl="6" w:tplc="85E89838">
      <w:numFmt w:val="decimal"/>
      <w:lvlText w:val=""/>
      <w:lvlJc w:val="left"/>
    </w:lvl>
    <w:lvl w:ilvl="7" w:tplc="3E70DC96">
      <w:numFmt w:val="decimal"/>
      <w:lvlText w:val=""/>
      <w:lvlJc w:val="left"/>
    </w:lvl>
    <w:lvl w:ilvl="8" w:tplc="0C2E8966">
      <w:numFmt w:val="decimal"/>
      <w:lvlText w:val=""/>
      <w:lvlJc w:val="left"/>
    </w:lvl>
  </w:abstractNum>
  <w:num w:numId="1" w16cid:durableId="111705455">
    <w:abstractNumId w:val="0"/>
    <w:lvlOverride w:ilvl="0">
      <w:startOverride w:val="1"/>
    </w:lvlOverride>
  </w:num>
  <w:num w:numId="2" w16cid:durableId="44238110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7B6"/>
    <w:rsid w:val="000B1CE4"/>
    <w:rsid w:val="000D2B0F"/>
    <w:rsid w:val="00E25B46"/>
    <w:rsid w:val="00F96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B4187"/>
  <w15:docId w15:val="{C9395409-50DE-405F-ADCE-B5E9AEB7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57486B-DF05-429D-B401-2A387182789B}"/>
</file>

<file path=customXml/itemProps2.xml><?xml version="1.0" encoding="utf-8"?>
<ds:datastoreItem xmlns:ds="http://schemas.openxmlformats.org/officeDocument/2006/customXml" ds:itemID="{C7B8A755-7308-4623-876C-1711C170162D}"/>
</file>

<file path=customXml/itemProps3.xml><?xml version="1.0" encoding="utf-8"?>
<ds:datastoreItem xmlns:ds="http://schemas.openxmlformats.org/officeDocument/2006/customXml" ds:itemID="{3521F2B3-35AE-4616-A137-EE4BD2CC60A5}"/>
</file>

<file path=docProps/app.xml><?xml version="1.0" encoding="utf-8"?>
<Properties xmlns="http://schemas.openxmlformats.org/officeDocument/2006/extended-properties" xmlns:vt="http://schemas.openxmlformats.org/officeDocument/2006/docPropsVTypes">
  <Template>Normal.dotm</Template>
  <TotalTime>1019</TotalTime>
  <Pages>5</Pages>
  <Words>1750</Words>
  <Characters>9975</Characters>
  <Application>Microsoft Office Word</Application>
  <DocSecurity>0</DocSecurity>
  <Lines>83</Lines>
  <Paragraphs>23</Paragraphs>
  <ScaleCrop>false</ScaleCrop>
  <Company/>
  <LinksUpToDate>false</LinksUpToDate>
  <CharactersWithSpaces>11702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2026-08-06T12:56:00Z</dcterms:created>
  <dcterms:modified xsi:type="dcterms:W3CDTF">2026-08-06T12:56:00Z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