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FB3B4" w14:textId="77777777" w:rsidR="00B67C12" w:rsidRDefault="00897489">
      <w:pPr>
        <w:spacing w:before="400" w:after="500"/>
      </w:pPr>
      <w:r>
        <w:rPr>
          <w:noProof/>
        </w:rPr>
        <w:drawing>
          <wp:inline distT="0" distB="0" distL="0" distR="0" wp14:anchorId="3C580963" wp14:editId="186CFDF3">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07DDF5BB" w14:textId="77777777" w:rsidR="00B67C12" w:rsidRDefault="00897489">
      <w:pPr>
        <w:spacing w:before="800" w:after="120"/>
      </w:pPr>
      <w:r>
        <w:rPr>
          <w:rFonts w:ascii="Noto Sans Semibold" w:eastAsia="Noto Sans Semibold" w:hAnsi="Noto Sans Semibold" w:cs="Noto Sans Semibold"/>
          <w:b/>
          <w:bCs/>
          <w:color w:val="005563"/>
          <w:sz w:val="56"/>
          <w:szCs w:val="56"/>
        </w:rPr>
        <w:t>Choosing Attributes for Machine Learning</w:t>
      </w:r>
    </w:p>
    <w:p w14:paraId="6928CBA4" w14:textId="77777777" w:rsidR="00B67C12" w:rsidRDefault="00B67C12">
      <w:pPr>
        <w:pBdr>
          <w:bottom w:val="single" w:sz="18" w:space="8" w:color="F7941D"/>
        </w:pBdr>
        <w:spacing w:after="300"/>
      </w:pPr>
    </w:p>
    <w:p w14:paraId="5D194212" w14:textId="77777777" w:rsidR="00B67C12" w:rsidRDefault="00897489">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2D08912B" w14:textId="77777777" w:rsidR="00B67C12" w:rsidRDefault="00897489">
      <w:r>
        <w:br w:type="page"/>
      </w:r>
    </w:p>
    <w:p w14:paraId="3CB5F64A" w14:textId="77777777" w:rsidR="00B67C12" w:rsidRDefault="00897489">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2BB63C4B" w14:textId="77777777" w:rsidR="00B67C12" w:rsidRDefault="00897489">
      <w:pPr>
        <w:spacing w:after="160"/>
      </w:pPr>
      <w:r>
        <w:t>Picking the correct attributes is critical when stacking multiple attributes in attribute space to define features below tuning resolution. This presentation covers the four main DHI (direct hydrocarbon indicator) indicators and the instantaneous attributes associated with each, explains that attribute space contains no physical laws, and discusses what is "missing" in attribute space, the statistical nature of attribute space, and how attributes are related. It also covers tips for selecting attributes, th</w:t>
      </w:r>
      <w:r>
        <w:t>e use of principal component analysis (PCA), and correlating wireline and seismic classification techniques.</w:t>
      </w:r>
    </w:p>
    <w:p w14:paraId="0933C0B2" w14:textId="77777777" w:rsidR="00B67C12" w:rsidRDefault="00897489">
      <w:pPr>
        <w:pStyle w:val="Heading2"/>
        <w:spacing w:before="320" w:after="140"/>
      </w:pPr>
      <w:r>
        <w:rPr>
          <w:rFonts w:ascii="Noto Sans Semibold" w:eastAsia="Noto Sans Semibold" w:hAnsi="Noto Sans Semibold" w:cs="Noto Sans Semibold"/>
          <w:b/>
          <w:bCs/>
          <w:color w:val="0080A8"/>
          <w:sz w:val="30"/>
          <w:szCs w:val="30"/>
        </w:rPr>
        <w:t>Approaches to Selecting an Attribute List</w:t>
      </w:r>
    </w:p>
    <w:p w14:paraId="21743007" w14:textId="77777777" w:rsidR="00B67C12" w:rsidRDefault="00897489">
      <w:pPr>
        <w:spacing w:after="160"/>
      </w:pPr>
      <w:r>
        <w:t>Interpreters tend to fall into a few different camps when choosing attributes:</w:t>
      </w:r>
    </w:p>
    <w:p w14:paraId="01633B56" w14:textId="77777777" w:rsidR="00B67C12" w:rsidRDefault="00897489">
      <w:pPr>
        <w:pStyle w:val="ListParagraph"/>
        <w:numPr>
          <w:ilvl w:val="0"/>
          <w:numId w:val="1"/>
        </w:numPr>
        <w:spacing w:after="80"/>
      </w:pPr>
      <w:r>
        <w:t>Preferring attributes that are fully independent of one another, so that every added attribute contributes genuinely new information (a common physicist's perspective).</w:t>
      </w:r>
    </w:p>
    <w:p w14:paraId="56E80DF5" w14:textId="77777777" w:rsidR="00B67C12" w:rsidRDefault="00897489">
      <w:pPr>
        <w:pStyle w:val="ListParagraph"/>
        <w:numPr>
          <w:ilvl w:val="0"/>
          <w:numId w:val="1"/>
        </w:numPr>
        <w:spacing w:after="80"/>
      </w:pPr>
      <w:r>
        <w:t>Preferring some overlap or redundancy among attributes, since subtle features may be only weakly captured by any single attribute.</w:t>
      </w:r>
    </w:p>
    <w:p w14:paraId="1F6C674B" w14:textId="77777777" w:rsidR="00B67C12" w:rsidRDefault="00897489">
      <w:pPr>
        <w:pStyle w:val="ListParagraph"/>
        <w:numPr>
          <w:ilvl w:val="0"/>
          <w:numId w:val="1"/>
        </w:numPr>
        <w:spacing w:after="80"/>
      </w:pPr>
      <w:r>
        <w:t>Preferring a simple, prescribed recipe of attributes, without needing to deeply understand the underlying reasoning.</w:t>
      </w:r>
    </w:p>
    <w:p w14:paraId="1CC36DC8" w14:textId="77777777" w:rsidR="00B67C12" w:rsidRDefault="00897489">
      <w:pPr>
        <w:spacing w:after="160"/>
      </w:pPr>
      <w:r>
        <w:t xml:space="preserve">Rocky Roden and Qingwen (a colleague), in a paper published in First Break, provided a table (Table 3) relating </w:t>
      </w:r>
      <w:proofErr w:type="gramStart"/>
      <w:r>
        <w:t>a number of</w:t>
      </w:r>
      <w:proofErr w:type="gramEnd"/>
      <w:r>
        <w:t xml:space="preserve"> instantaneous attributes to direct hydrocarbon indicators, offering a useful starting point for attribute selection. The four top DHI indicators discussed are:</w:t>
      </w:r>
    </w:p>
    <w:p w14:paraId="10575AB7" w14:textId="77777777" w:rsidR="00B67C12" w:rsidRDefault="00897489">
      <w:pPr>
        <w:pStyle w:val="ListParagraph"/>
        <w:numPr>
          <w:ilvl w:val="0"/>
          <w:numId w:val="2"/>
        </w:numPr>
        <w:spacing w:after="80"/>
      </w:pPr>
      <w:r>
        <w:t>Anomaly conformance to down-dip structure.</w:t>
      </w:r>
    </w:p>
    <w:p w14:paraId="023FD5C8" w14:textId="77777777" w:rsidR="00B67C12" w:rsidRDefault="00897489">
      <w:pPr>
        <w:pStyle w:val="ListParagraph"/>
        <w:numPr>
          <w:ilvl w:val="0"/>
          <w:numId w:val="2"/>
        </w:numPr>
        <w:spacing w:after="80"/>
      </w:pPr>
      <w:r>
        <w:t>Character change at the down-dip edge (indicating fluid contacts).</w:t>
      </w:r>
    </w:p>
    <w:p w14:paraId="65F90F14" w14:textId="77777777" w:rsidR="00B67C12" w:rsidRDefault="00897489">
      <w:pPr>
        <w:pStyle w:val="ListParagraph"/>
        <w:numPr>
          <w:ilvl w:val="0"/>
          <w:numId w:val="2"/>
        </w:numPr>
        <w:spacing w:after="80"/>
      </w:pPr>
      <w:r>
        <w:t>Consistency of the anomaly with the mapped target objective.</w:t>
      </w:r>
    </w:p>
    <w:p w14:paraId="1EC45FAA" w14:textId="77777777" w:rsidR="00B67C12" w:rsidRDefault="00897489">
      <w:pPr>
        <w:pStyle w:val="ListParagraph"/>
        <w:numPr>
          <w:ilvl w:val="0"/>
          <w:numId w:val="2"/>
        </w:numPr>
        <w:spacing w:after="80"/>
      </w:pPr>
      <w:r>
        <w:t>(Related to the above) confirmation that the anomaly behaves consistently with expected structural and stratigraphic controls.</w:t>
      </w:r>
    </w:p>
    <w:p w14:paraId="6E96CEBA" w14:textId="77777777" w:rsidR="00B67C12" w:rsidRDefault="00897489">
      <w:pPr>
        <w:pStyle w:val="Heading2"/>
        <w:spacing w:before="320" w:after="140"/>
      </w:pPr>
      <w:r>
        <w:rPr>
          <w:rFonts w:ascii="Noto Sans Semibold" w:eastAsia="Noto Sans Semibold" w:hAnsi="Noto Sans Semibold" w:cs="Noto Sans Semibold"/>
          <w:b/>
          <w:bCs/>
          <w:color w:val="0080A8"/>
          <w:sz w:val="30"/>
          <w:szCs w:val="30"/>
        </w:rPr>
        <w:t>What Is Missing in Attribute Space</w:t>
      </w:r>
    </w:p>
    <w:p w14:paraId="2A85AAD6" w14:textId="77777777" w:rsidR="00B67C12" w:rsidRDefault="00897489">
      <w:pPr>
        <w:spacing w:after="160"/>
      </w:pPr>
      <w:r>
        <w:t>Attribute space fundamentally differs from the seismic trace domain interpreters are used to working with. In attribute space:</w:t>
      </w:r>
    </w:p>
    <w:p w14:paraId="64F7918E" w14:textId="77777777" w:rsidR="00B67C12" w:rsidRDefault="00897489">
      <w:pPr>
        <w:pStyle w:val="ListParagraph"/>
        <w:numPr>
          <w:ilvl w:val="0"/>
          <w:numId w:val="1"/>
        </w:numPr>
        <w:spacing w:after="80"/>
      </w:pPr>
      <w:r>
        <w:t>There is no wavelet. Every sample occupies its own separate location in attribute space, regardless of which wavelet it came from.</w:t>
      </w:r>
    </w:p>
    <w:p w14:paraId="0897EF2C" w14:textId="77777777" w:rsidR="00B67C12" w:rsidRDefault="00897489">
      <w:pPr>
        <w:pStyle w:val="ListParagraph"/>
        <w:numPr>
          <w:ilvl w:val="0"/>
          <w:numId w:val="1"/>
        </w:numPr>
        <w:spacing w:after="80"/>
      </w:pPr>
      <w:r>
        <w:t>There is no wavelet phase, no frequency bandwidth, and no signal frequency band.</w:t>
      </w:r>
    </w:p>
    <w:p w14:paraId="47BF24C1" w14:textId="77777777" w:rsidR="00B67C12" w:rsidRDefault="00897489">
      <w:pPr>
        <w:pStyle w:val="ListParagraph"/>
        <w:numPr>
          <w:ilvl w:val="0"/>
          <w:numId w:val="1"/>
        </w:numPr>
        <w:spacing w:after="80"/>
      </w:pPr>
      <w:r>
        <w:t xml:space="preserve">There </w:t>
      </w:r>
      <w:proofErr w:type="gramStart"/>
      <w:r>
        <w:t>is</w:t>
      </w:r>
      <w:proofErr w:type="gramEnd"/>
      <w:r>
        <w:t xml:space="preserve"> no Nyquist frequency and no low-frequency trend to worry about, at least from the machine learning classifier's perspective.</w:t>
      </w:r>
    </w:p>
    <w:p w14:paraId="0AF1DBAE" w14:textId="77777777" w:rsidR="00B67C12" w:rsidRDefault="00897489">
      <w:pPr>
        <w:pStyle w:val="ListParagraph"/>
        <w:numPr>
          <w:ilvl w:val="0"/>
          <w:numId w:val="1"/>
        </w:numPr>
        <w:spacing w:after="80"/>
      </w:pPr>
      <w:r>
        <w:t>There are no sample intervals, no time shifts, and no classical wavelet-interference resolution limits in time or depth.</w:t>
      </w:r>
    </w:p>
    <w:p w14:paraId="7B855456" w14:textId="77777777" w:rsidR="00B67C12" w:rsidRDefault="00897489">
      <w:pPr>
        <w:pStyle w:val="ListParagraph"/>
        <w:numPr>
          <w:ilvl w:val="0"/>
          <w:numId w:val="1"/>
        </w:numPr>
        <w:spacing w:after="80"/>
      </w:pPr>
      <w:r>
        <w:t xml:space="preserve">There are no physical laws and no wave equations; there are no implied relationships among the attributes at all. A machine learning algorithm will process whatever attributes it is given, regardless of whether they have any physical relationship </w:t>
      </w:r>
      <w:proofErr w:type="gramStart"/>
      <w:r>
        <w:t>to</w:t>
      </w:r>
      <w:proofErr w:type="gramEnd"/>
      <w:r>
        <w:t xml:space="preserve"> one another.</w:t>
      </w:r>
    </w:p>
    <w:p w14:paraId="450154F0" w14:textId="77777777" w:rsidR="00B67C12" w:rsidRDefault="00897489">
      <w:pPr>
        <w:pStyle w:val="ListParagraph"/>
        <w:numPr>
          <w:ilvl w:val="0"/>
          <w:numId w:val="1"/>
        </w:numPr>
        <w:spacing w:after="80"/>
      </w:pPr>
      <w:r>
        <w:lastRenderedPageBreak/>
        <w:t>Noise, whether coherent or random, is present everywhere in attribute space and is indistinguishable from signal.</w:t>
      </w:r>
    </w:p>
    <w:p w14:paraId="5F245207" w14:textId="77777777" w:rsidR="00B67C12" w:rsidRDefault="00897489">
      <w:pPr>
        <w:spacing w:after="160"/>
      </w:pPr>
      <w:r>
        <w:t xml:space="preserve">Because of this, the tools used to identify natural clusters and </w:t>
      </w:r>
      <w:proofErr w:type="spellStart"/>
      <w:r>
        <w:t>geobodies</w:t>
      </w:r>
      <w:proofErr w:type="spellEnd"/>
      <w:r>
        <w:t xml:space="preserve"> are fundamentally statistical, and expectations must be managed accordingly. There is every opportunity to fool yourself with a poorly chosen set of attributes or poorly selected data (for example, inaccurate well ties), and it is essential to carefully check results after completing the statistical process, since it is entirely possible for the process to identify nothing more than statistical junk.</w:t>
      </w:r>
    </w:p>
    <w:p w14:paraId="0F6BC464" w14:textId="77777777" w:rsidR="00B67C12" w:rsidRDefault="00897489">
      <w:pPr>
        <w:pStyle w:val="Heading3"/>
        <w:spacing w:before="240" w:after="100"/>
      </w:pPr>
      <w:r>
        <w:rPr>
          <w:rFonts w:ascii="Noto Sans Semibold" w:eastAsia="Noto Sans Semibold" w:hAnsi="Noto Sans Semibold" w:cs="Noto Sans Semibold"/>
          <w:b/>
          <w:bCs/>
          <w:color w:val="005563"/>
        </w:rPr>
        <w:t>A Cautionary Example</w:t>
      </w:r>
    </w:p>
    <w:p w14:paraId="3459EEBF" w14:textId="77777777" w:rsidR="00B67C12" w:rsidRDefault="00897489">
      <w:pPr>
        <w:spacing w:after="160"/>
      </w:pPr>
      <w:r>
        <w:t>An illustrative (and intentionally absurd) example: chickens and snakes both breathe air, both live on land, both lay eggs, have similar lifespans, and both have male and female members of the species. Using these five "attributes" alone could mislead someone into concluding chickens and snakes are closely related. This illustrates the importance of a "user beware" mindset when interpreting statistical machine learning results.</w:t>
      </w:r>
    </w:p>
    <w:p w14:paraId="7928D49F" w14:textId="77777777" w:rsidR="00B67C12" w:rsidRDefault="00897489">
      <w:pPr>
        <w:spacing w:after="160"/>
      </w:pPr>
      <w:r>
        <w:t xml:space="preserve">A relevant quotation, attributed to Roger Melko: machine learning is a modern version of the "give a man a fish" parable. Rather than </w:t>
      </w:r>
      <w:proofErr w:type="gramStart"/>
      <w:r>
        <w:t>hard-coding</w:t>
      </w:r>
      <w:proofErr w:type="gramEnd"/>
      <w:r>
        <w:t xml:space="preserve"> a program for one specific task, these algorithms can be taught to learn and adapt to different tasks, but the interpreter is the one who decides what those tasks are; results do not appear automatically.</w:t>
      </w:r>
    </w:p>
    <w:p w14:paraId="2E71E3A7" w14:textId="77777777" w:rsidR="00B67C12" w:rsidRDefault="00897489">
      <w:pPr>
        <w:pStyle w:val="Heading2"/>
        <w:spacing w:before="320" w:after="140"/>
      </w:pPr>
      <w:r>
        <w:rPr>
          <w:rFonts w:ascii="Noto Sans Semibold" w:eastAsia="Noto Sans Semibold" w:hAnsi="Noto Sans Semibold" w:cs="Noto Sans Semibold"/>
          <w:b/>
          <w:bCs/>
          <w:color w:val="0080A8"/>
          <w:sz w:val="30"/>
          <w:szCs w:val="30"/>
        </w:rPr>
        <w:t>Starting from a Geologic Question</w:t>
      </w:r>
    </w:p>
    <w:p w14:paraId="62375C4D" w14:textId="77777777" w:rsidR="00B67C12" w:rsidRDefault="00897489">
      <w:pPr>
        <w:spacing w:after="160"/>
      </w:pPr>
      <w:r>
        <w:t>The process of selecting attributes should fundamentally start with a geologic question (a point credited to colleague Rocky Roden), then proceed through a defined series of steps to arrive at an interpretable result.</w:t>
      </w:r>
    </w:p>
    <w:p w14:paraId="00DCDFA0" w14:textId="77777777" w:rsidR="00B67C12" w:rsidRDefault="00897489">
      <w:pPr>
        <w:spacing w:after="160"/>
      </w:pPr>
      <w:r>
        <w:t>Two problematic extremes in selecting attributes and interpretation approaches:</w:t>
      </w:r>
    </w:p>
    <w:p w14:paraId="347BB4F3" w14:textId="77777777" w:rsidR="00B67C12" w:rsidRDefault="00897489">
      <w:pPr>
        <w:pStyle w:val="ListParagraph"/>
        <w:numPr>
          <w:ilvl w:val="0"/>
          <w:numId w:val="1"/>
        </w:numPr>
        <w:spacing w:after="80"/>
      </w:pPr>
      <w:r>
        <w:rPr>
          <w:b/>
          <w:bCs/>
          <w:color w:val="005563"/>
        </w:rPr>
        <w:t>Analog hunting:</w:t>
      </w:r>
      <w:r>
        <w:t xml:space="preserve"> looking for a prospect purely because a nearby or similar-looking area was productive, without independent scientific support. This is "all geology and no science."</w:t>
      </w:r>
    </w:p>
    <w:p w14:paraId="08D98E1F" w14:textId="77777777" w:rsidR="00B67C12" w:rsidRDefault="00897489">
      <w:pPr>
        <w:pStyle w:val="ListParagraph"/>
        <w:numPr>
          <w:ilvl w:val="0"/>
          <w:numId w:val="1"/>
        </w:numPr>
        <w:spacing w:after="80"/>
      </w:pPr>
      <w:r>
        <w:rPr>
          <w:b/>
          <w:bCs/>
          <w:color w:val="005563"/>
        </w:rPr>
        <w:t>Pure rock physics:</w:t>
      </w:r>
      <w:r>
        <w:t xml:space="preserve"> relying entirely on rock-physics mathematics without adequate geologic context, for example running a full 3D pre-stack inversion over a large survey area using very few </w:t>
      </w:r>
      <w:proofErr w:type="gramStart"/>
      <w:r>
        <w:t>reliable well</w:t>
      </w:r>
      <w:proofErr w:type="gramEnd"/>
      <w:r>
        <w:t xml:space="preserve"> control points. This is "all science and possibly no geology."</w:t>
      </w:r>
    </w:p>
    <w:p w14:paraId="1D2DF0F3" w14:textId="77777777" w:rsidR="00B67C12" w:rsidRDefault="00897489">
      <w:pPr>
        <w:pStyle w:val="Heading2"/>
        <w:spacing w:before="320" w:after="140"/>
      </w:pPr>
      <w:r>
        <w:rPr>
          <w:rFonts w:ascii="Noto Sans Semibold" w:eastAsia="Noto Sans Semibold" w:hAnsi="Noto Sans Semibold" w:cs="Noto Sans Semibold"/>
          <w:b/>
          <w:bCs/>
          <w:color w:val="0080A8"/>
          <w:sz w:val="30"/>
          <w:szCs w:val="30"/>
        </w:rPr>
        <w:t>Recommended Steps for Selecting Attributes</w:t>
      </w:r>
    </w:p>
    <w:p w14:paraId="06816685" w14:textId="77777777" w:rsidR="00B67C12" w:rsidRDefault="00897489">
      <w:pPr>
        <w:spacing w:after="160"/>
      </w:pPr>
      <w:r>
        <w:t xml:space="preserve">SOM analysis is described as a uniquely suited analytic tool for interpreting multi-attribute seismic data because it finds natural clusters in attribute space, some of which are directly related to real </w:t>
      </w:r>
      <w:proofErr w:type="spellStart"/>
      <w:r>
        <w:t>geobodies</w:t>
      </w:r>
      <w:proofErr w:type="spellEnd"/>
      <w:r>
        <w:t xml:space="preserve"> in survey space. The recommended workflow:</w:t>
      </w:r>
    </w:p>
    <w:p w14:paraId="2D46BC0B" w14:textId="77777777" w:rsidR="00B67C12" w:rsidRDefault="00897489">
      <w:pPr>
        <w:pStyle w:val="ListParagraph"/>
        <w:numPr>
          <w:ilvl w:val="0"/>
          <w:numId w:val="2"/>
        </w:numPr>
        <w:spacing w:after="80"/>
      </w:pPr>
      <w:r>
        <w:t>Select the geologic question to be answered.</w:t>
      </w:r>
    </w:p>
    <w:p w14:paraId="0DA8CB47" w14:textId="77777777" w:rsidR="00B67C12" w:rsidRDefault="00897489">
      <w:pPr>
        <w:pStyle w:val="ListParagraph"/>
        <w:numPr>
          <w:ilvl w:val="0"/>
          <w:numId w:val="2"/>
        </w:numPr>
        <w:spacing w:after="80"/>
      </w:pPr>
      <w:r>
        <w:t>Prepare a long list of possible attributes that might help answer that question.</w:t>
      </w:r>
    </w:p>
    <w:p w14:paraId="1F8B1363" w14:textId="77777777" w:rsidR="00B67C12" w:rsidRDefault="00897489">
      <w:pPr>
        <w:pStyle w:val="ListParagraph"/>
        <w:numPr>
          <w:ilvl w:val="0"/>
          <w:numId w:val="2"/>
        </w:numPr>
        <w:spacing w:after="80"/>
      </w:pPr>
      <w:r>
        <w:t>Compute all attributes on the list, starting from a single base survey only (avoid mixing multiple surveys with potentially different processing).</w:t>
      </w:r>
    </w:p>
    <w:p w14:paraId="35737BB8" w14:textId="77777777" w:rsidR="00B67C12" w:rsidRDefault="00897489">
      <w:pPr>
        <w:pStyle w:val="ListParagraph"/>
        <w:numPr>
          <w:ilvl w:val="0"/>
          <w:numId w:val="2"/>
        </w:numPr>
        <w:spacing w:after="80"/>
      </w:pPr>
      <w:r>
        <w:t>Run principal component analysis (PCA) to help refine the attribute list.</w:t>
      </w:r>
    </w:p>
    <w:p w14:paraId="2A5E0D43" w14:textId="77777777" w:rsidR="00B67C12" w:rsidRDefault="00897489">
      <w:pPr>
        <w:pStyle w:val="ListParagraph"/>
        <w:numPr>
          <w:ilvl w:val="0"/>
          <w:numId w:val="2"/>
        </w:numPr>
        <w:spacing w:after="80"/>
      </w:pPr>
      <w:r>
        <w:t>Once the list is refined, run SOM to search for natural clusters.</w:t>
      </w:r>
    </w:p>
    <w:p w14:paraId="752F832D" w14:textId="77777777" w:rsidR="00B67C12" w:rsidRDefault="00897489">
      <w:pPr>
        <w:pStyle w:val="Heading2"/>
        <w:spacing w:before="320" w:after="140"/>
      </w:pPr>
      <w:r>
        <w:rPr>
          <w:rFonts w:ascii="Noto Sans Semibold" w:eastAsia="Noto Sans Semibold" w:hAnsi="Noto Sans Semibold" w:cs="Noto Sans Semibold"/>
          <w:b/>
          <w:bCs/>
          <w:color w:val="0080A8"/>
          <w:sz w:val="30"/>
          <w:szCs w:val="30"/>
        </w:rPr>
        <w:lastRenderedPageBreak/>
        <w:t>Principal Component Analysis (PCA)</w:t>
      </w:r>
    </w:p>
    <w:p w14:paraId="3AC84C42" w14:textId="77777777" w:rsidR="00B67C12" w:rsidRDefault="00897489">
      <w:pPr>
        <w:spacing w:after="160"/>
      </w:pPr>
      <w:r>
        <w:t>PCA is a well-established, linear methodology that estimates linear correlations between pairs of attributes, based on the covariance matrix (the zero-lag cross-correlation between every pair of attributes). The covariance matrix is symmetric, with zero-lag autocorrelation values along its diagonal, computed using normalized, multi-attribute training samples.</w:t>
      </w:r>
    </w:p>
    <w:p w14:paraId="31226402" w14:textId="77777777" w:rsidR="00B67C12" w:rsidRDefault="00897489">
      <w:pPr>
        <w:pStyle w:val="Heading3"/>
        <w:spacing w:before="240" w:after="100"/>
      </w:pPr>
      <w:r>
        <w:rPr>
          <w:rFonts w:ascii="Noto Sans Semibold" w:eastAsia="Noto Sans Semibold" w:hAnsi="Noto Sans Semibold" w:cs="Noto Sans Semibold"/>
          <w:b/>
          <w:bCs/>
          <w:color w:val="005563"/>
        </w:rPr>
        <w:t>Two-Dimensional Example</w:t>
      </w:r>
    </w:p>
    <w:p w14:paraId="0F636703" w14:textId="77777777" w:rsidR="00B67C12" w:rsidRDefault="00897489">
      <w:pPr>
        <w:spacing w:after="160"/>
      </w:pPr>
      <w:r>
        <w:t>Using two synthetic attributes (each Gaussian-distributed) and two well-separated natural clusters of 1,000 samples each, PCA identifies the direction of maximum variance (information) as the first principal component, and the perpendicular direction as the second principal component.</w:t>
      </w:r>
    </w:p>
    <w:p w14:paraId="7373A019" w14:textId="77777777" w:rsidR="00B67C12" w:rsidRDefault="00897489">
      <w:pPr>
        <w:pStyle w:val="ListParagraph"/>
        <w:numPr>
          <w:ilvl w:val="0"/>
          <w:numId w:val="1"/>
        </w:numPr>
        <w:spacing w:after="80"/>
      </w:pPr>
      <w:r>
        <w:t>The first eigenvector (principal component 1) pointed at roughly 45 degrees in this example, indicating roughly equal contributions from both attributes (about 50.19% from attribute one, 49.81% from attribute two), with a relatively large eigenvalue (about 4.72), representing high variance in that direction.</w:t>
      </w:r>
    </w:p>
    <w:p w14:paraId="35D1E042" w14:textId="77777777" w:rsidR="00B67C12" w:rsidRDefault="00897489">
      <w:pPr>
        <w:pStyle w:val="ListParagraph"/>
        <w:numPr>
          <w:ilvl w:val="0"/>
          <w:numId w:val="1"/>
        </w:numPr>
        <w:spacing w:after="80"/>
      </w:pPr>
      <w:r>
        <w:t>The second eigenvector, perpendicular to the first, had a much smaller eigenvalue (about 0.2), representing much lower variance.</w:t>
      </w:r>
    </w:p>
    <w:p w14:paraId="4F952382" w14:textId="77777777" w:rsidR="00B67C12" w:rsidRDefault="00897489">
      <w:pPr>
        <w:pStyle w:val="ListParagraph"/>
        <w:numPr>
          <w:ilvl w:val="0"/>
          <w:numId w:val="1"/>
        </w:numPr>
        <w:spacing w:after="80"/>
      </w:pPr>
      <w:r>
        <w:t>Projecting the data onto either attribute axis (or onto principal component 1) clearly resolved the two clusters. Projecting onto principal component 2, however, produced almost no separation between the clusters at all - a poor projection direction for this data.</w:t>
      </w:r>
    </w:p>
    <w:p w14:paraId="278022C5" w14:textId="77777777" w:rsidR="00B67C12" w:rsidRDefault="00897489">
      <w:pPr>
        <w:pStyle w:val="ListParagraph"/>
        <w:numPr>
          <w:ilvl w:val="0"/>
          <w:numId w:val="1"/>
        </w:numPr>
        <w:spacing w:after="80"/>
      </w:pPr>
      <w:r>
        <w:t>Because eigenvalue 1 was so much larger than eigenvalue 2, and because both attribute components of the first eigenvector were large, the conclusion was that both attributes are important, and the second principal component could reasonably be disregarded.</w:t>
      </w:r>
    </w:p>
    <w:p w14:paraId="79C2B2A9" w14:textId="77777777" w:rsidR="00B67C12" w:rsidRDefault="00897489">
      <w:pPr>
        <w:pStyle w:val="Heading3"/>
        <w:spacing w:before="240" w:after="100"/>
      </w:pPr>
      <w:r>
        <w:rPr>
          <w:rFonts w:ascii="Noto Sans Semibold" w:eastAsia="Noto Sans Semibold" w:hAnsi="Noto Sans Semibold" w:cs="Noto Sans Semibold"/>
          <w:b/>
          <w:bCs/>
          <w:color w:val="005563"/>
        </w:rPr>
        <w:t>Six-Cluster Example</w:t>
      </w:r>
    </w:p>
    <w:p w14:paraId="3D4CE818" w14:textId="77777777" w:rsidR="00B67C12" w:rsidRDefault="00897489">
      <w:pPr>
        <w:spacing w:after="160"/>
      </w:pPr>
      <w:r>
        <w:t>Using a more complex synthetic dataset with six natural clusters, projecting onto either attribute alone, or onto either principal component individually, failed to cleanly resolve all six clusters; the eigenvalues for the first and second principal components were not very different from one another, indicating no single dominant direction of separation. This does not mean SOM would fail on this data. On the contrary, running enough winning neurons (six, or more if some clusters end up needing to share amo</w:t>
      </w:r>
      <w:r>
        <w:t>ng several neurons) would be expected to resolve all six clusters directly. This illustrates a key difference: PCA identifies linear directions of maximum separation, while SOM can resolve natural clusters that PCA alone cannot cleanly separate.</w:t>
      </w:r>
    </w:p>
    <w:p w14:paraId="4A70AD5F" w14:textId="77777777" w:rsidR="00B67C12" w:rsidRDefault="00897489">
      <w:pPr>
        <w:pStyle w:val="Heading2"/>
        <w:spacing w:before="320" w:after="140"/>
      </w:pPr>
      <w:r>
        <w:rPr>
          <w:rFonts w:ascii="Noto Sans Semibold" w:eastAsia="Noto Sans Semibold" w:hAnsi="Noto Sans Semibold" w:cs="Noto Sans Semibold"/>
          <w:b/>
          <w:bCs/>
          <w:color w:val="0080A8"/>
          <w:sz w:val="30"/>
          <w:szCs w:val="30"/>
        </w:rPr>
        <w:t>Are You an "Algorithm Junkie"?</w:t>
      </w:r>
    </w:p>
    <w:p w14:paraId="5FB7E861" w14:textId="77777777" w:rsidR="00B67C12" w:rsidRDefault="00897489">
      <w:pPr>
        <w:spacing w:after="160"/>
      </w:pPr>
      <w:r>
        <w:t>Interpreters are encouraged to reflect on where they fall between two extremes: an "algorithm junkie," who is drawn to trying new algorithms for their own sake, and a "steely-eyed, coldly logical" geoscientist who is focused purely on making better decisions. Most practitioners will find themselves somewhere between these two poles, and being aware of that tendency is valuable.</w:t>
      </w:r>
    </w:p>
    <w:p w14:paraId="2D5ACD65" w14:textId="77777777" w:rsidR="00B67C12" w:rsidRDefault="00897489">
      <w:pPr>
        <w:pStyle w:val="Heading2"/>
        <w:spacing w:before="320" w:after="140"/>
      </w:pPr>
      <w:r>
        <w:rPr>
          <w:rFonts w:ascii="Noto Sans Semibold" w:eastAsia="Noto Sans Semibold" w:hAnsi="Noto Sans Semibold" w:cs="Noto Sans Semibold"/>
          <w:b/>
          <w:bCs/>
          <w:color w:val="0080A8"/>
          <w:sz w:val="30"/>
          <w:szCs w:val="30"/>
        </w:rPr>
        <w:t>Correlating Wireline and Seismic Classifications</w:t>
      </w:r>
    </w:p>
    <w:p w14:paraId="0F8674B6" w14:textId="77777777" w:rsidR="00B67C12" w:rsidRDefault="00897489">
      <w:pPr>
        <w:spacing w:after="160"/>
      </w:pPr>
      <w:r>
        <w:t xml:space="preserve">Using an example from Yvonne's work (based on classification results originally developed by a researcher named Odom, published in a master's dissertation), a wireline classification with three facies ("buckets") and four attributes was compared against seismic classification results. The </w:t>
      </w:r>
      <w:r>
        <w:lastRenderedPageBreak/>
        <w:t>dataset and well logs are available through the SEG wiki or the Bureau of Economic Geology at the University of Texas at Austin; well locations and the Odom classification itself are being pursued for future availability, pending permissions.</w:t>
      </w:r>
    </w:p>
    <w:p w14:paraId="34381580" w14:textId="77777777" w:rsidR="00B67C12" w:rsidRDefault="00897489">
      <w:pPr>
        <w:spacing w:after="160"/>
      </w:pPr>
      <w:r>
        <w:t>The comparison uses a "soda straw" of seismic traces in the vicinity of a borehole (which may be deviated, not necessarily vertical), covering the same depth or time range as the available wireline data.</w:t>
      </w:r>
    </w:p>
    <w:p w14:paraId="669DAFDB" w14:textId="77777777" w:rsidR="00B67C12" w:rsidRDefault="00897489">
      <w:pPr>
        <w:pStyle w:val="Heading3"/>
        <w:spacing w:before="240" w:after="100"/>
      </w:pPr>
      <w:r>
        <w:rPr>
          <w:rFonts w:ascii="Noto Sans Semibold" w:eastAsia="Noto Sans Semibold" w:hAnsi="Noto Sans Semibold" w:cs="Noto Sans Semibold"/>
          <w:b/>
          <w:bCs/>
          <w:color w:val="005563"/>
        </w:rPr>
        <w:t>Key Questions for Correlating Wireline and Seismic Classifications</w:t>
      </w:r>
    </w:p>
    <w:p w14:paraId="4A705507" w14:textId="77777777" w:rsidR="00B67C12" w:rsidRDefault="00897489">
      <w:pPr>
        <w:pStyle w:val="ListParagraph"/>
        <w:numPr>
          <w:ilvl w:val="0"/>
          <w:numId w:val="2"/>
        </w:numPr>
        <w:spacing w:after="80"/>
      </w:pPr>
      <w:r>
        <w:rPr>
          <w:b/>
          <w:bCs/>
          <w:color w:val="005563"/>
        </w:rPr>
        <w:t xml:space="preserve">Should </w:t>
      </w:r>
      <w:proofErr w:type="gramStart"/>
      <w:r>
        <w:rPr>
          <w:b/>
          <w:bCs/>
          <w:color w:val="005563"/>
        </w:rPr>
        <w:t>the wireline</w:t>
      </w:r>
      <w:proofErr w:type="gramEnd"/>
      <w:r>
        <w:rPr>
          <w:b/>
          <w:bCs/>
          <w:color w:val="005563"/>
        </w:rPr>
        <w:t xml:space="preserve"> classification drive the unsupervised seismic classification?</w:t>
      </w:r>
      <w:r>
        <w:t xml:space="preserve"> The recommended answer is no. Doing so would require the time-depth conversion to be essentially perfect at the sample level, and it risks constraining or overriding what SOM has independently discovered as natural clusters. A generally preferred alternative is to run the seismic classification independently (unsupervised, via SOM or k-means) and then compare the two results.</w:t>
      </w:r>
    </w:p>
    <w:p w14:paraId="527AB9AB" w14:textId="77777777" w:rsidR="00B67C12" w:rsidRDefault="00897489">
      <w:pPr>
        <w:pStyle w:val="ListParagraph"/>
        <w:numPr>
          <w:ilvl w:val="0"/>
          <w:numId w:val="2"/>
        </w:numPr>
        <w:spacing w:after="80"/>
      </w:pPr>
      <w:r>
        <w:rPr>
          <w:b/>
          <w:bCs/>
          <w:color w:val="005563"/>
        </w:rPr>
        <w:t>Does the wireline classification correlate with the seismic classification?</w:t>
      </w:r>
      <w:r>
        <w:t xml:space="preserve"> The general answer is yes, correlation is typically found, though how much seismic data (more than a single trace, and potentially multiple attributes) is used in the comparison is somewhat subjective.</w:t>
      </w:r>
    </w:p>
    <w:p w14:paraId="4931C3F1" w14:textId="77777777" w:rsidR="00B67C12" w:rsidRDefault="00897489">
      <w:pPr>
        <w:pStyle w:val="ListParagraph"/>
        <w:numPr>
          <w:ilvl w:val="0"/>
          <w:numId w:val="2"/>
        </w:numPr>
        <w:spacing w:after="80"/>
      </w:pPr>
      <w:r>
        <w:rPr>
          <w:b/>
          <w:bCs/>
          <w:color w:val="005563"/>
        </w:rPr>
        <w:t>Should wireline classifications be upscaled to seismic "resolution"?</w:t>
      </w:r>
      <w:r>
        <w:t xml:space="preserve"> The recommendation is generally not to upscale beyond simply resampling the wireline data from foot- or meter-based sampling to the seismic's time or depth sample interval.</w:t>
      </w:r>
    </w:p>
    <w:p w14:paraId="1536C0D5" w14:textId="77777777" w:rsidR="00B67C12" w:rsidRDefault="00897489">
      <w:pPr>
        <w:spacing w:after="160"/>
      </w:pPr>
      <w:r>
        <w:t>When comparing classification counts (for example, three wireline facies vs. many more seismic classification buckets from an 8x8 SOM), it is common to manually determine which seismic classifications best match the wireline classifications, particularly early on, before eventually automating parts of the process once the workflow is well understood.</w:t>
      </w:r>
    </w:p>
    <w:p w14:paraId="70905B68" w14:textId="77777777" w:rsidR="00B67C12" w:rsidRDefault="00897489">
      <w:pPr>
        <w:pStyle w:val="Heading2"/>
        <w:spacing w:before="320" w:after="140"/>
      </w:pPr>
      <w:r>
        <w:rPr>
          <w:rFonts w:ascii="Noto Sans Semibold" w:eastAsia="Noto Sans Semibold" w:hAnsi="Noto Sans Semibold" w:cs="Noto Sans Semibold"/>
          <w:b/>
          <w:bCs/>
          <w:color w:val="0080A8"/>
          <w:sz w:val="30"/>
          <w:szCs w:val="30"/>
        </w:rPr>
        <w:t>PCA Summary</w:t>
      </w:r>
    </w:p>
    <w:p w14:paraId="6D0F8F2D" w14:textId="77777777" w:rsidR="00B67C12" w:rsidRDefault="00897489">
      <w:pPr>
        <w:spacing w:after="160"/>
      </w:pPr>
      <w:r>
        <w:t xml:space="preserve">PCA identifies a new coordinate system defined by eigenvectors, with as many new coordinate directions as there are dimensions (attributes) in the original selection list. The first coordinate direction points in the direction of maximum data variability; the second </w:t>
      </w:r>
      <w:proofErr w:type="gramStart"/>
      <w:r>
        <w:t>points</w:t>
      </w:r>
      <w:proofErr w:type="gramEnd"/>
      <w:r>
        <w:t xml:space="preserve"> in the direction of the next-highest variability, and so on. Each eigenvector has an associated eigenvalue representing the variability (information) along that direction. PCA is fundamentally a linear transformation process based on a set of orthogonal vectors.</w:t>
      </w:r>
    </w:p>
    <w:p w14:paraId="08F4AEDB" w14:textId="77777777" w:rsidR="00B67C12" w:rsidRDefault="00897489">
      <w:pPr>
        <w:pStyle w:val="Heading2"/>
        <w:spacing w:before="320" w:after="140"/>
      </w:pPr>
      <w:r>
        <w:rPr>
          <w:rFonts w:ascii="Noto Sans Semibold" w:eastAsia="Noto Sans Semibold" w:hAnsi="Noto Sans Semibold" w:cs="Noto Sans Semibold"/>
          <w:b/>
          <w:bCs/>
          <w:color w:val="0080A8"/>
          <w:sz w:val="30"/>
          <w:szCs w:val="30"/>
        </w:rPr>
        <w:t>Summary</w:t>
      </w:r>
    </w:p>
    <w:p w14:paraId="2DE4C4A0" w14:textId="77777777" w:rsidR="00B67C12" w:rsidRDefault="00897489">
      <w:pPr>
        <w:spacing w:after="160"/>
      </w:pPr>
      <w:r>
        <w:t>This presentation established that attribute space contains no wavelets, wavelet phase, frequency, sample intervals, or time shifts, and emphasized that there is every opportunity to fool oneself with an ill-advised set of attributes or a poor selection of data. Carefully checking the results of these statistical processes is strongly advised. Attribute selection guidance and PCA were covered in detail, including the definitions of eigenvectors and eigenvalues. PCA identifies a new coordinate system for mul</w:t>
      </w:r>
      <w:r>
        <w:t xml:space="preserve">tidimensional data, with as many coordinate directions as there are dimensions in the original data; the first coordinate direction identifies the axis of maximum data variability, the second identifies the axis of the next-highest variability at 90 degrees to the first, </w:t>
      </w:r>
      <w:r>
        <w:lastRenderedPageBreak/>
        <w:t>and so on. These directions correspond to the first eigenvector, second eigenvector, and so forth, making PCA a linear transformation process through orthogonal vectors.</w:t>
      </w:r>
    </w:p>
    <w:sectPr w:rsidR="00B67C12">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EEB88" w14:textId="77777777" w:rsidR="00897489" w:rsidRDefault="00897489">
      <w:r>
        <w:separator/>
      </w:r>
    </w:p>
  </w:endnote>
  <w:endnote w:type="continuationSeparator" w:id="0">
    <w:p w14:paraId="6973C091" w14:textId="77777777" w:rsidR="00897489" w:rsidRDefault="00897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66999" w14:textId="77777777" w:rsidR="00B67C12" w:rsidRDefault="00897489">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D877C0">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FB75B" w14:textId="77777777" w:rsidR="00897489" w:rsidRDefault="00897489">
      <w:r>
        <w:separator/>
      </w:r>
    </w:p>
  </w:footnote>
  <w:footnote w:type="continuationSeparator" w:id="0">
    <w:p w14:paraId="2D5467AA" w14:textId="77777777" w:rsidR="00897489" w:rsidRDefault="00897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EAFC" w14:textId="77777777" w:rsidR="00B67C12" w:rsidRDefault="00897489">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A6623"/>
    <w:multiLevelType w:val="hybridMultilevel"/>
    <w:tmpl w:val="0E948772"/>
    <w:lvl w:ilvl="0" w:tplc="8864E426">
      <w:start w:val="1"/>
      <w:numFmt w:val="bullet"/>
      <w:lvlText w:val="●"/>
      <w:lvlJc w:val="left"/>
      <w:pPr>
        <w:ind w:left="720" w:hanging="360"/>
      </w:pPr>
    </w:lvl>
    <w:lvl w:ilvl="1" w:tplc="0E68F638">
      <w:start w:val="1"/>
      <w:numFmt w:val="bullet"/>
      <w:lvlText w:val="○"/>
      <w:lvlJc w:val="left"/>
      <w:pPr>
        <w:ind w:left="1440" w:hanging="360"/>
      </w:pPr>
    </w:lvl>
    <w:lvl w:ilvl="2" w:tplc="59E65B3E">
      <w:start w:val="1"/>
      <w:numFmt w:val="bullet"/>
      <w:lvlText w:val="■"/>
      <w:lvlJc w:val="left"/>
      <w:pPr>
        <w:ind w:left="2160" w:hanging="360"/>
      </w:pPr>
    </w:lvl>
    <w:lvl w:ilvl="3" w:tplc="C3CABC3A">
      <w:start w:val="1"/>
      <w:numFmt w:val="bullet"/>
      <w:lvlText w:val="●"/>
      <w:lvlJc w:val="left"/>
      <w:pPr>
        <w:ind w:left="2880" w:hanging="360"/>
      </w:pPr>
    </w:lvl>
    <w:lvl w:ilvl="4" w:tplc="9DAE81E4">
      <w:start w:val="1"/>
      <w:numFmt w:val="bullet"/>
      <w:lvlText w:val="○"/>
      <w:lvlJc w:val="left"/>
      <w:pPr>
        <w:ind w:left="3600" w:hanging="360"/>
      </w:pPr>
    </w:lvl>
    <w:lvl w:ilvl="5" w:tplc="AB1E3B30">
      <w:start w:val="1"/>
      <w:numFmt w:val="bullet"/>
      <w:lvlText w:val="■"/>
      <w:lvlJc w:val="left"/>
      <w:pPr>
        <w:ind w:left="4320" w:hanging="360"/>
      </w:pPr>
    </w:lvl>
    <w:lvl w:ilvl="6" w:tplc="1C0C498C">
      <w:start w:val="1"/>
      <w:numFmt w:val="bullet"/>
      <w:lvlText w:val="●"/>
      <w:lvlJc w:val="left"/>
      <w:pPr>
        <w:ind w:left="5040" w:hanging="360"/>
      </w:pPr>
    </w:lvl>
    <w:lvl w:ilvl="7" w:tplc="EB84C718">
      <w:start w:val="1"/>
      <w:numFmt w:val="bullet"/>
      <w:lvlText w:val="●"/>
      <w:lvlJc w:val="left"/>
      <w:pPr>
        <w:ind w:left="5760" w:hanging="360"/>
      </w:pPr>
    </w:lvl>
    <w:lvl w:ilvl="8" w:tplc="7262BDE4">
      <w:start w:val="1"/>
      <w:numFmt w:val="bullet"/>
      <w:lvlText w:val="●"/>
      <w:lvlJc w:val="left"/>
      <w:pPr>
        <w:ind w:left="6480" w:hanging="360"/>
      </w:pPr>
    </w:lvl>
  </w:abstractNum>
  <w:abstractNum w:abstractNumId="1" w15:restartNumberingAfterBreak="0">
    <w:nsid w:val="2C267440"/>
    <w:multiLevelType w:val="hybridMultilevel"/>
    <w:tmpl w:val="378681AC"/>
    <w:lvl w:ilvl="0" w:tplc="2F4A6FB2">
      <w:start w:val="1"/>
      <w:numFmt w:val="decimal"/>
      <w:lvlText w:val="%1."/>
      <w:lvlJc w:val="left"/>
      <w:pPr>
        <w:ind w:left="460" w:hanging="260"/>
      </w:pPr>
    </w:lvl>
    <w:lvl w:ilvl="1" w:tplc="6CAC90E4">
      <w:numFmt w:val="decimal"/>
      <w:lvlText w:val=""/>
      <w:lvlJc w:val="left"/>
    </w:lvl>
    <w:lvl w:ilvl="2" w:tplc="E71C9D9A">
      <w:numFmt w:val="decimal"/>
      <w:lvlText w:val=""/>
      <w:lvlJc w:val="left"/>
    </w:lvl>
    <w:lvl w:ilvl="3" w:tplc="B5DEB066">
      <w:numFmt w:val="decimal"/>
      <w:lvlText w:val=""/>
      <w:lvlJc w:val="left"/>
    </w:lvl>
    <w:lvl w:ilvl="4" w:tplc="EBBC28E8">
      <w:numFmt w:val="decimal"/>
      <w:lvlText w:val=""/>
      <w:lvlJc w:val="left"/>
    </w:lvl>
    <w:lvl w:ilvl="5" w:tplc="D3EEE300">
      <w:numFmt w:val="decimal"/>
      <w:lvlText w:val=""/>
      <w:lvlJc w:val="left"/>
    </w:lvl>
    <w:lvl w:ilvl="6" w:tplc="29225206">
      <w:numFmt w:val="decimal"/>
      <w:lvlText w:val=""/>
      <w:lvlJc w:val="left"/>
    </w:lvl>
    <w:lvl w:ilvl="7" w:tplc="21A4FCFA">
      <w:numFmt w:val="decimal"/>
      <w:lvlText w:val=""/>
      <w:lvlJc w:val="left"/>
    </w:lvl>
    <w:lvl w:ilvl="8" w:tplc="917241B4">
      <w:numFmt w:val="decimal"/>
      <w:lvlText w:val=""/>
      <w:lvlJc w:val="left"/>
    </w:lvl>
  </w:abstractNum>
  <w:num w:numId="1" w16cid:durableId="627974349">
    <w:abstractNumId w:val="0"/>
    <w:lvlOverride w:ilvl="0">
      <w:startOverride w:val="1"/>
    </w:lvlOverride>
  </w:num>
  <w:num w:numId="2" w16cid:durableId="159254920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12"/>
    <w:rsid w:val="000B1CE4"/>
    <w:rsid w:val="00897489"/>
    <w:rsid w:val="00B67C12"/>
    <w:rsid w:val="00D87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EB8CD"/>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233F5F-E469-4397-9FC9-E1318602163A}"/>
</file>

<file path=customXml/itemProps2.xml><?xml version="1.0" encoding="utf-8"?>
<ds:datastoreItem xmlns:ds="http://schemas.openxmlformats.org/officeDocument/2006/customXml" ds:itemID="{91833505-668D-47F0-9B9A-3127F2C1A71A}"/>
</file>

<file path=customXml/itemProps3.xml><?xml version="1.0" encoding="utf-8"?>
<ds:datastoreItem xmlns:ds="http://schemas.openxmlformats.org/officeDocument/2006/customXml" ds:itemID="{77BA6D85-2AC6-4FE5-A305-0407A96C6E36}"/>
</file>

<file path=docProps/app.xml><?xml version="1.0" encoding="utf-8"?>
<Properties xmlns="http://schemas.openxmlformats.org/officeDocument/2006/extended-properties" xmlns:vt="http://schemas.openxmlformats.org/officeDocument/2006/docPropsVTypes">
  <Template>Normal.dotm</Template>
  <TotalTime>0</TotalTime>
  <Pages>6</Pages>
  <Words>1817</Words>
  <Characters>10358</Characters>
  <Application>Microsoft Office Word</Application>
  <DocSecurity>0</DocSecurity>
  <Lines>86</Lines>
  <Paragraphs>24</Paragraphs>
  <ScaleCrop>false</ScaleCrop>
  <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2026-08-05T19:04:00Z</dcterms:created>
  <dcterms:modified xsi:type="dcterms:W3CDTF">2026-08-05T19:04:00Z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