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48CD2" w14:textId="77777777" w:rsidR="004303B5" w:rsidRDefault="00A73BDB">
      <w:pPr>
        <w:spacing w:before="400" w:after="500"/>
      </w:pPr>
      <w:r>
        <w:rPr>
          <w:noProof/>
        </w:rPr>
        <w:drawing>
          <wp:inline distT="0" distB="0" distL="0" distR="0" wp14:anchorId="4E0E2C22" wp14:editId="10C0008D">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660B43B5" w14:textId="77777777" w:rsidR="004303B5" w:rsidRDefault="00A73BDB">
      <w:pPr>
        <w:spacing w:before="800" w:after="120"/>
      </w:pPr>
      <w:r>
        <w:rPr>
          <w:rFonts w:ascii="Noto Sans Semibold" w:eastAsia="Noto Sans Semibold" w:hAnsi="Noto Sans Semibold" w:cs="Noto Sans Semibold"/>
          <w:b/>
          <w:bCs/>
          <w:color w:val="005563"/>
          <w:sz w:val="56"/>
          <w:szCs w:val="56"/>
        </w:rPr>
        <w:t xml:space="preserve">2D Colormaps, </w:t>
      </w:r>
      <w:proofErr w:type="spellStart"/>
      <w:r>
        <w:rPr>
          <w:rFonts w:ascii="Noto Sans Semibold" w:eastAsia="Noto Sans Semibold" w:hAnsi="Noto Sans Semibold" w:cs="Noto Sans Semibold"/>
          <w:b/>
          <w:bCs/>
          <w:color w:val="005563"/>
          <w:sz w:val="56"/>
          <w:szCs w:val="56"/>
        </w:rPr>
        <w:t>Colorbars</w:t>
      </w:r>
      <w:proofErr w:type="spellEnd"/>
      <w:r>
        <w:rPr>
          <w:rFonts w:ascii="Noto Sans Semibold" w:eastAsia="Noto Sans Semibold" w:hAnsi="Noto Sans Semibold" w:cs="Noto Sans Semibold"/>
          <w:b/>
          <w:bCs/>
          <w:color w:val="005563"/>
          <w:sz w:val="56"/>
          <w:szCs w:val="56"/>
        </w:rPr>
        <w:t>, and SOMs</w:t>
      </w:r>
    </w:p>
    <w:p w14:paraId="5931546A" w14:textId="77777777" w:rsidR="004303B5" w:rsidRDefault="004303B5">
      <w:pPr>
        <w:pBdr>
          <w:bottom w:val="single" w:sz="18" w:space="8" w:color="F7941D"/>
        </w:pBdr>
        <w:spacing w:after="300"/>
      </w:pPr>
    </w:p>
    <w:p w14:paraId="5480424B" w14:textId="77777777" w:rsidR="004303B5" w:rsidRDefault="00A73BDB">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577C24A4" w14:textId="77777777" w:rsidR="004303B5" w:rsidRDefault="00A73BDB">
      <w:r>
        <w:br w:type="page"/>
      </w:r>
    </w:p>
    <w:p w14:paraId="509688E9"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3A0F2A9C" w14:textId="77777777" w:rsidR="004303B5" w:rsidRDefault="00A73BDB">
      <w:pPr>
        <w:spacing w:after="160"/>
      </w:pPr>
      <w:r>
        <w:t>In supervised machine learning classification, labels are attached to input samples that may be used as training samples. Reclassification involves changing labels to clean up noise or simplify interpretation. This presentation discusses k-nearest neighbor (KNN) classification, color maps for seismic amplitude and other attribute displays, and how color choices can enhance interpretation and reveal natural clusters.</w:t>
      </w:r>
    </w:p>
    <w:p w14:paraId="72E285F3"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t>Classification vs. Reclassification</w:t>
      </w:r>
    </w:p>
    <w:p w14:paraId="7739AEF7" w14:textId="77777777" w:rsidR="004303B5" w:rsidRDefault="00A73BDB">
      <w:pPr>
        <w:spacing w:after="160"/>
      </w:pPr>
      <w:r>
        <w:t xml:space="preserve">A machine learning classifier attaches a label (for example, a color) to every sample in a survey. If a SOM uses a 5x5 neuron </w:t>
      </w:r>
      <w:proofErr w:type="gramStart"/>
      <w:r>
        <w:t>grid,</w:t>
      </w:r>
      <w:proofErr w:type="gramEnd"/>
      <w:r>
        <w:t xml:space="preserve"> that produces 25 possible labels, or "buckets." In a facies classification example with 8 seismic lithofacies, hand-picked polygons defined training samples for each of the 8 buckets. The output of any classifier, whether CNN, encoder-decoder, or SOM, is fundamentally a set of labels.</w:t>
      </w:r>
    </w:p>
    <w:p w14:paraId="7AFA24F3" w14:textId="77777777" w:rsidR="004303B5" w:rsidRDefault="00A73BDB">
      <w:pPr>
        <w:spacing w:after="160"/>
      </w:pPr>
      <w:r>
        <w:t>Importantly, picking training samples for supervised learning is itself an act of classification: a human manually assigns samples to buckets (facies) before any machine learning occurs. Unsupervised machine learning, by contrast, requires no pre-picked training samples; the algorithm discovers structure on its own.</w:t>
      </w:r>
    </w:p>
    <w:p w14:paraId="69687BC8" w14:textId="77777777" w:rsidR="004303B5" w:rsidRDefault="00A73BDB">
      <w:pPr>
        <w:spacing w:after="160"/>
      </w:pPr>
      <w:r>
        <w:rPr>
          <w:b/>
          <w:bCs/>
          <w:color w:val="005563"/>
        </w:rPr>
        <w:t>Reclassification</w:t>
      </w:r>
      <w:r>
        <w:t xml:space="preserve"> means changing the labels that have already been assigned. This happens more often than might be obvious. For example, in the salt segmentation problem discussed in the prior presentation, human-picked training samples fed into a CNN produced a new, refined set of labels; this is itself a reclassification, since the original human-assigned classification was transformed into a new classification by the machine learning process.</w:t>
      </w:r>
    </w:p>
    <w:p w14:paraId="68618B15" w14:textId="77777777" w:rsidR="004303B5" w:rsidRDefault="00A73BDB">
      <w:pPr>
        <w:pStyle w:val="Heading3"/>
        <w:spacing w:before="240" w:after="100"/>
      </w:pPr>
      <w:r>
        <w:rPr>
          <w:rFonts w:ascii="Noto Sans Semibold" w:eastAsia="Noto Sans Semibold" w:hAnsi="Noto Sans Semibold" w:cs="Noto Sans Semibold"/>
          <w:b/>
          <w:bCs/>
          <w:color w:val="005563"/>
        </w:rPr>
        <w:t>Why Reclassify?</w:t>
      </w:r>
    </w:p>
    <w:p w14:paraId="0121A642" w14:textId="77777777" w:rsidR="004303B5" w:rsidRDefault="00A73BDB">
      <w:pPr>
        <w:pStyle w:val="ListParagraph"/>
        <w:numPr>
          <w:ilvl w:val="0"/>
          <w:numId w:val="1"/>
        </w:numPr>
        <w:spacing w:after="80"/>
      </w:pPr>
      <w:r>
        <w:t>To go from initial training-sample labels to a refined deep-learning classification.</w:t>
      </w:r>
    </w:p>
    <w:p w14:paraId="02F3EE99" w14:textId="77777777" w:rsidR="004303B5" w:rsidRDefault="00A73BDB">
      <w:pPr>
        <w:pStyle w:val="ListParagraph"/>
        <w:numPr>
          <w:ilvl w:val="0"/>
          <w:numId w:val="1"/>
        </w:numPr>
        <w:spacing w:after="80"/>
      </w:pPr>
      <w:r>
        <w:t>To clean up noise (separating geology from noise or unrelated features).</w:t>
      </w:r>
    </w:p>
    <w:p w14:paraId="63151509" w14:textId="77777777" w:rsidR="004303B5" w:rsidRDefault="00A73BDB">
      <w:pPr>
        <w:pStyle w:val="ListParagraph"/>
        <w:numPr>
          <w:ilvl w:val="0"/>
          <w:numId w:val="1"/>
        </w:numPr>
        <w:spacing w:after="80"/>
      </w:pPr>
      <w:r>
        <w:t>To consolidate and simplify interpretation.</w:t>
      </w:r>
    </w:p>
    <w:p w14:paraId="3AD4DB1D" w14:textId="77777777" w:rsidR="004303B5" w:rsidRDefault="00A73BDB">
      <w:pPr>
        <w:pStyle w:val="ListParagraph"/>
        <w:numPr>
          <w:ilvl w:val="0"/>
          <w:numId w:val="1"/>
        </w:numPr>
        <w:spacing w:after="80"/>
      </w:pPr>
      <w:r>
        <w:t>To perform detailed reclassification within a portion of an already-classified survey. For example, if a stream channel is spotted within a previously classified facies on a stratal slice, that facies region can be reclassified again (using the same or a different algorithm) to reveal additional detail. This is sometimes called "SOM on SOM."</w:t>
      </w:r>
    </w:p>
    <w:p w14:paraId="12E6B4CA"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t>K-Nearest Neighbor (KNN) Reclassification</w:t>
      </w:r>
    </w:p>
    <w:p w14:paraId="37B26746" w14:textId="77777777" w:rsidR="004303B5" w:rsidRDefault="00A73BDB">
      <w:pPr>
        <w:spacing w:after="160"/>
      </w:pPr>
      <w:r>
        <w:t>KNN is introduced as a reclassification technique. Given an existing classification (for example, a boundary between red and blue samples, including a small isolated "island" of two samples), the value of k determines how the boundary is redrawn:</w:t>
      </w:r>
    </w:p>
    <w:p w14:paraId="5230C39E" w14:textId="77777777" w:rsidR="004303B5" w:rsidRDefault="00A73BDB">
      <w:pPr>
        <w:pStyle w:val="ListParagraph"/>
        <w:numPr>
          <w:ilvl w:val="0"/>
          <w:numId w:val="1"/>
        </w:numPr>
        <w:spacing w:after="80"/>
      </w:pPr>
      <w:r>
        <w:rPr>
          <w:b/>
          <w:bCs/>
          <w:color w:val="005563"/>
        </w:rPr>
        <w:t>k = 1:</w:t>
      </w:r>
      <w:r>
        <w:t xml:space="preserve"> equivalent to using the nearest winning neuron; this is essentially the original SOM (or deep learning) classification.</w:t>
      </w:r>
    </w:p>
    <w:p w14:paraId="33CD6069" w14:textId="77777777" w:rsidR="004303B5" w:rsidRDefault="00A73BDB">
      <w:pPr>
        <w:pStyle w:val="ListParagraph"/>
        <w:numPr>
          <w:ilvl w:val="0"/>
          <w:numId w:val="1"/>
        </w:numPr>
        <w:spacing w:after="80"/>
      </w:pPr>
      <w:r>
        <w:rPr>
          <w:b/>
          <w:bCs/>
          <w:color w:val="005563"/>
        </w:rPr>
        <w:t>k = 3, 5, 7:</w:t>
      </w:r>
      <w:r>
        <w:t xml:space="preserve"> </w:t>
      </w:r>
      <w:proofErr w:type="spellStart"/>
      <w:r>
        <w:t>as k</w:t>
      </w:r>
      <w:proofErr w:type="spellEnd"/>
      <w:r>
        <w:t xml:space="preserve"> increases, the boundary changes and becomes progressively smoother; the small island shrinks and eventually disappears, and some samples near the boundary flip from one class to the other.</w:t>
      </w:r>
    </w:p>
    <w:p w14:paraId="68F87814" w14:textId="77777777" w:rsidR="004303B5" w:rsidRDefault="00A73BDB">
      <w:pPr>
        <w:spacing w:after="160"/>
      </w:pPr>
      <w:r>
        <w:rPr>
          <w:b/>
          <w:bCs/>
          <w:color w:val="005563"/>
        </w:rPr>
        <w:lastRenderedPageBreak/>
        <w:t>How KNN works:</w:t>
      </w:r>
      <w:r>
        <w:t xml:space="preserve"> for every classified sample, find its k nearest neighboring samples, then vote among them to decide the sample's (re)classification. Samples deep within a classification region have neighbors that are overwhelmingly the same class, so nothing changes there. Samples near a boundary have mixed neighbors, so the vote can flip their classification. In this way, k acts as a "reach," and larger k produces a stronger smoothing effect on classification boundaries.</w:t>
      </w:r>
    </w:p>
    <w:p w14:paraId="1F23929A" w14:textId="77777777" w:rsidR="004303B5" w:rsidRDefault="00A73BDB">
      <w:pPr>
        <w:pStyle w:val="Heading3"/>
        <w:spacing w:before="240" w:after="100"/>
      </w:pPr>
      <w:proofErr w:type="gramStart"/>
      <w:r>
        <w:rPr>
          <w:rFonts w:ascii="Noto Sans Semibold" w:eastAsia="Noto Sans Semibold" w:hAnsi="Noto Sans Semibold" w:cs="Noto Sans Semibold"/>
          <w:b/>
          <w:bCs/>
          <w:color w:val="005563"/>
        </w:rPr>
        <w:t>Worked Example</w:t>
      </w:r>
      <w:proofErr w:type="gramEnd"/>
      <w:r>
        <w:rPr>
          <w:rFonts w:ascii="Noto Sans Semibold" w:eastAsia="Noto Sans Semibold" w:hAnsi="Noto Sans Semibold" w:cs="Noto Sans Semibold"/>
          <w:b/>
          <w:bCs/>
          <w:color w:val="005563"/>
        </w:rPr>
        <w:t>: Six Natural Clusters, Ten Winning Neurons</w:t>
      </w:r>
    </w:p>
    <w:p w14:paraId="32BBD0AC" w14:textId="77777777" w:rsidR="004303B5" w:rsidRDefault="00A73BDB">
      <w:pPr>
        <w:spacing w:after="160"/>
      </w:pPr>
      <w:r>
        <w:t>A synthetic example generated six natural clusters, each with a known generating-function center (marked with a red plus). After SOM classification, ten winning neurons resulted, meaning some natural clusters were split across two or more winning neurons (for example, one cluster ended up divided into two parts, represented by different symbols). After applying KNN reclassification (which reassigned 116 samples), some of the split clusters were successfully merged back toward fewer, cleaner classifications,</w:t>
      </w:r>
      <w:r>
        <w:t xml:space="preserve"> more closely matching the original six natural clusters.</w:t>
      </w:r>
    </w:p>
    <w:p w14:paraId="6A412F32" w14:textId="77777777" w:rsidR="004303B5" w:rsidRDefault="00A73BDB">
      <w:pPr>
        <w:pStyle w:val="Heading3"/>
        <w:spacing w:before="240" w:after="100"/>
      </w:pPr>
      <w:r>
        <w:rPr>
          <w:rFonts w:ascii="Noto Sans Semibold" w:eastAsia="Noto Sans Semibold" w:hAnsi="Noto Sans Semibold" w:cs="Noto Sans Semibold"/>
          <w:b/>
          <w:bCs/>
          <w:color w:val="005563"/>
        </w:rPr>
        <w:t>Seismic Example: Stratton Field, 64-Neuron SOM</w:t>
      </w:r>
    </w:p>
    <w:p w14:paraId="61BC93C3" w14:textId="77777777" w:rsidR="004303B5" w:rsidRDefault="00A73BDB">
      <w:pPr>
        <w:spacing w:after="160"/>
      </w:pPr>
      <w:r>
        <w:t xml:space="preserve">A Stratton Field line was classified using a full attribute set and a 64-neuron SOM (8x8). A time slice through a key reflection near a fault showed two separated blue regions in the original SOM classification. After </w:t>
      </w:r>
      <w:proofErr w:type="gramStart"/>
      <w:r>
        <w:t>applying</w:t>
      </w:r>
      <w:proofErr w:type="gramEnd"/>
      <w:r>
        <w:t xml:space="preserve"> KNN reclassification, these regions were visibly cleaned up. As with any filter, the choice of k can be overdone or underdone; results using this approach were presented at a recent SEG convention and remain an active area of investigation, though promising as an interpretation aid.</w:t>
      </w:r>
    </w:p>
    <w:p w14:paraId="1A7D90AF"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t>Color Bars</w:t>
      </w:r>
    </w:p>
    <w:p w14:paraId="5E24522E" w14:textId="77777777" w:rsidR="004303B5" w:rsidRDefault="00A73BDB">
      <w:pPr>
        <w:spacing w:after="160"/>
      </w:pPr>
      <w:r>
        <w:t>Color bars (or color scales) are commonly used for seismic amplitude displays, typically scaled symmetrically around zero. The number of colors used for a smooth transition is often not critical (for example, a display might use 256 colors).</w:t>
      </w:r>
    </w:p>
    <w:p w14:paraId="327188ED" w14:textId="77777777" w:rsidR="004303B5" w:rsidRDefault="00A73BDB">
      <w:pPr>
        <w:spacing w:after="160"/>
      </w:pPr>
      <w:r>
        <w:t>Different attributes require different color bar ranges:</w:t>
      </w:r>
    </w:p>
    <w:tbl>
      <w:tblPr>
        <w:tblW w:w="6075" w:type="dxa"/>
        <w:tblBorders>
          <w:top w:val="single" w:sz="4" w:space="0" w:color="CCCCCC"/>
          <w:left w:val="single" w:sz="4" w:space="0" w:color="CCCCCC"/>
          <w:bottom w:val="single" w:sz="4" w:space="0" w:color="CCCCCC"/>
          <w:right w:val="single" w:sz="4" w:space="0" w:color="CCCCCC"/>
          <w:insideH w:val="single" w:sz="2" w:space="0" w:color="DDDDDD"/>
          <w:insideV w:val="single" w:sz="2" w:space="0" w:color="DDDDDD"/>
        </w:tblBorders>
        <w:tblCellMar>
          <w:left w:w="10" w:type="dxa"/>
          <w:right w:w="10" w:type="dxa"/>
        </w:tblCellMar>
        <w:tblLook w:val="0000" w:firstRow="0" w:lastRow="0" w:firstColumn="0" w:lastColumn="0" w:noHBand="0" w:noVBand="0"/>
      </w:tblPr>
      <w:tblGrid>
        <w:gridCol w:w="1475"/>
        <w:gridCol w:w="4600"/>
      </w:tblGrid>
      <w:tr w:rsidR="004303B5" w14:paraId="3DC79F5E" w14:textId="77777777">
        <w:tblPrEx>
          <w:tblCellMar>
            <w:top w:w="0" w:type="dxa"/>
            <w:bottom w:w="0" w:type="dxa"/>
          </w:tblCellMar>
        </w:tblPrEx>
        <w:trPr>
          <w:tblHeader/>
        </w:trPr>
        <w:tc>
          <w:tcPr>
            <w:tcW w:w="1475" w:type="dxa"/>
            <w:shd w:val="clear" w:color="auto" w:fill="005563"/>
            <w:tcMar>
              <w:top w:w="80" w:type="dxa"/>
              <w:left w:w="100" w:type="dxa"/>
              <w:bottom w:w="80" w:type="dxa"/>
              <w:right w:w="100" w:type="dxa"/>
            </w:tcMar>
          </w:tcPr>
          <w:p w14:paraId="489EBA3F" w14:textId="77777777" w:rsidR="004303B5" w:rsidRDefault="00A73BDB">
            <w:r>
              <w:rPr>
                <w:b/>
                <w:bCs/>
                <w:color w:val="FFFFFF"/>
                <w:sz w:val="20"/>
                <w:szCs w:val="20"/>
              </w:rPr>
              <w:t>Attribute</w:t>
            </w:r>
          </w:p>
        </w:tc>
        <w:tc>
          <w:tcPr>
            <w:tcW w:w="4600" w:type="dxa"/>
            <w:shd w:val="clear" w:color="auto" w:fill="005563"/>
            <w:tcMar>
              <w:top w:w="80" w:type="dxa"/>
              <w:left w:w="100" w:type="dxa"/>
              <w:bottom w:w="80" w:type="dxa"/>
              <w:right w:w="100" w:type="dxa"/>
            </w:tcMar>
          </w:tcPr>
          <w:p w14:paraId="0C5BEE0A" w14:textId="77777777" w:rsidR="004303B5" w:rsidRDefault="00A73BDB">
            <w:r>
              <w:rPr>
                <w:b/>
                <w:bCs/>
                <w:color w:val="FFFFFF"/>
                <w:sz w:val="20"/>
                <w:szCs w:val="20"/>
              </w:rPr>
              <w:t>Typical Range</w:t>
            </w:r>
          </w:p>
        </w:tc>
      </w:tr>
      <w:tr w:rsidR="004303B5" w14:paraId="0C84AECA" w14:textId="77777777">
        <w:tblPrEx>
          <w:tblCellMar>
            <w:top w:w="0" w:type="dxa"/>
            <w:bottom w:w="0" w:type="dxa"/>
          </w:tblCellMar>
        </w:tblPrEx>
        <w:tc>
          <w:tcPr>
            <w:tcW w:w="1475" w:type="dxa"/>
            <w:shd w:val="clear" w:color="auto" w:fill="FFFFFF"/>
            <w:tcMar>
              <w:top w:w="80" w:type="dxa"/>
              <w:left w:w="100" w:type="dxa"/>
              <w:bottom w:w="80" w:type="dxa"/>
              <w:right w:w="100" w:type="dxa"/>
            </w:tcMar>
          </w:tcPr>
          <w:p w14:paraId="2E39B9A8" w14:textId="77777777" w:rsidR="004303B5" w:rsidRDefault="00A73BDB">
            <w:r>
              <w:t>Amplitude</w:t>
            </w:r>
          </w:p>
        </w:tc>
        <w:tc>
          <w:tcPr>
            <w:tcW w:w="4600" w:type="dxa"/>
            <w:shd w:val="clear" w:color="auto" w:fill="FFFFFF"/>
            <w:tcMar>
              <w:top w:w="80" w:type="dxa"/>
              <w:left w:w="100" w:type="dxa"/>
              <w:bottom w:w="80" w:type="dxa"/>
              <w:right w:w="100" w:type="dxa"/>
            </w:tcMar>
          </w:tcPr>
          <w:p w14:paraId="77943A12" w14:textId="77777777" w:rsidR="004303B5" w:rsidRDefault="00A73BDB">
            <w:r>
              <w:t>Symmetric around zero (large negative to large positive)</w:t>
            </w:r>
          </w:p>
        </w:tc>
      </w:tr>
      <w:tr w:rsidR="004303B5" w14:paraId="75488BAE" w14:textId="77777777">
        <w:tblPrEx>
          <w:tblCellMar>
            <w:top w:w="0" w:type="dxa"/>
            <w:bottom w:w="0" w:type="dxa"/>
          </w:tblCellMar>
        </w:tblPrEx>
        <w:tc>
          <w:tcPr>
            <w:tcW w:w="1475" w:type="dxa"/>
            <w:shd w:val="clear" w:color="auto" w:fill="FFFFFF"/>
            <w:tcMar>
              <w:top w:w="80" w:type="dxa"/>
              <w:left w:w="100" w:type="dxa"/>
              <w:bottom w:w="80" w:type="dxa"/>
              <w:right w:w="100" w:type="dxa"/>
            </w:tcMar>
          </w:tcPr>
          <w:p w14:paraId="593244BD" w14:textId="77777777" w:rsidR="004303B5" w:rsidRDefault="00A73BDB">
            <w:r>
              <w:t>Envelope</w:t>
            </w:r>
          </w:p>
        </w:tc>
        <w:tc>
          <w:tcPr>
            <w:tcW w:w="4600" w:type="dxa"/>
            <w:shd w:val="clear" w:color="auto" w:fill="FFFFFF"/>
            <w:tcMar>
              <w:top w:w="80" w:type="dxa"/>
              <w:left w:w="100" w:type="dxa"/>
              <w:bottom w:w="80" w:type="dxa"/>
              <w:right w:w="100" w:type="dxa"/>
            </w:tcMar>
          </w:tcPr>
          <w:p w14:paraId="7883D9D4" w14:textId="77777777" w:rsidR="004303B5" w:rsidRDefault="00A73BDB">
            <w:r>
              <w:t>All positive values (zero to a maximum), since envelope is a vector length</w:t>
            </w:r>
          </w:p>
        </w:tc>
      </w:tr>
      <w:tr w:rsidR="004303B5" w14:paraId="03B08133" w14:textId="77777777">
        <w:tblPrEx>
          <w:tblCellMar>
            <w:top w:w="0" w:type="dxa"/>
            <w:bottom w:w="0" w:type="dxa"/>
          </w:tblCellMar>
        </w:tblPrEx>
        <w:tc>
          <w:tcPr>
            <w:tcW w:w="1475" w:type="dxa"/>
            <w:shd w:val="clear" w:color="auto" w:fill="FFFFFF"/>
            <w:tcMar>
              <w:top w:w="80" w:type="dxa"/>
              <w:left w:w="100" w:type="dxa"/>
              <w:bottom w:w="80" w:type="dxa"/>
              <w:right w:w="100" w:type="dxa"/>
            </w:tcMar>
          </w:tcPr>
          <w:p w14:paraId="7B23812D" w14:textId="77777777" w:rsidR="004303B5" w:rsidRDefault="00A73BDB">
            <w:r>
              <w:t>Phase</w:t>
            </w:r>
          </w:p>
        </w:tc>
        <w:tc>
          <w:tcPr>
            <w:tcW w:w="4600" w:type="dxa"/>
            <w:shd w:val="clear" w:color="auto" w:fill="FFFFFF"/>
            <w:tcMar>
              <w:top w:w="80" w:type="dxa"/>
              <w:left w:w="100" w:type="dxa"/>
              <w:bottom w:w="80" w:type="dxa"/>
              <w:right w:w="100" w:type="dxa"/>
            </w:tcMar>
          </w:tcPr>
          <w:p w14:paraId="1C1F9C01" w14:textId="77777777" w:rsidR="004303B5" w:rsidRDefault="00A73BDB">
            <w:r>
              <w:t>-180 degrees to +180 degrees</w:t>
            </w:r>
          </w:p>
        </w:tc>
      </w:tr>
      <w:tr w:rsidR="004303B5" w14:paraId="68E9643A" w14:textId="77777777">
        <w:tblPrEx>
          <w:tblCellMar>
            <w:top w:w="0" w:type="dxa"/>
            <w:bottom w:w="0" w:type="dxa"/>
          </w:tblCellMar>
        </w:tblPrEx>
        <w:tc>
          <w:tcPr>
            <w:tcW w:w="1475" w:type="dxa"/>
            <w:shd w:val="clear" w:color="auto" w:fill="FFFFFF"/>
            <w:tcMar>
              <w:top w:w="80" w:type="dxa"/>
              <w:left w:w="100" w:type="dxa"/>
              <w:bottom w:w="80" w:type="dxa"/>
              <w:right w:w="100" w:type="dxa"/>
            </w:tcMar>
          </w:tcPr>
          <w:p w14:paraId="255922CC" w14:textId="77777777" w:rsidR="004303B5" w:rsidRDefault="00A73BDB">
            <w:r>
              <w:t>Frequency</w:t>
            </w:r>
          </w:p>
        </w:tc>
        <w:tc>
          <w:tcPr>
            <w:tcW w:w="4600" w:type="dxa"/>
            <w:shd w:val="clear" w:color="auto" w:fill="FFFFFF"/>
            <w:tcMar>
              <w:top w:w="80" w:type="dxa"/>
              <w:left w:w="100" w:type="dxa"/>
              <w:bottom w:w="80" w:type="dxa"/>
              <w:right w:w="100" w:type="dxa"/>
            </w:tcMar>
          </w:tcPr>
          <w:p w14:paraId="6798B876" w14:textId="77777777" w:rsidR="004303B5" w:rsidRDefault="00A73BDB">
            <w:r>
              <w:t xml:space="preserve">Set to the relevant band, e.g., 10-100 Hz, 10-80 Hz, or a narrower spectral </w:t>
            </w:r>
            <w:proofErr w:type="spellStart"/>
            <w:r>
              <w:t>decon</w:t>
            </w:r>
            <w:proofErr w:type="spellEnd"/>
            <w:r>
              <w:t xml:space="preserve"> band</w:t>
            </w:r>
          </w:p>
        </w:tc>
      </w:tr>
    </w:tbl>
    <w:p w14:paraId="5CB6EB59" w14:textId="77777777" w:rsidR="004303B5" w:rsidRDefault="004303B5">
      <w:pPr>
        <w:spacing w:after="200"/>
      </w:pPr>
    </w:p>
    <w:p w14:paraId="706F8CD8" w14:textId="77777777" w:rsidR="004303B5" w:rsidRDefault="00A73BDB">
      <w:pPr>
        <w:spacing w:after="160"/>
      </w:pPr>
      <w:r>
        <w:t>Interpretation software should support manually setting color bar ranges to match the attribute being displayed, since the appropriate range is not always simply "largest negative to largest positive."</w:t>
      </w:r>
    </w:p>
    <w:p w14:paraId="027B40AB"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t>Pixels vs. Samples</w:t>
      </w:r>
    </w:p>
    <w:p w14:paraId="4D6C9FE2" w14:textId="77777777" w:rsidR="004303B5" w:rsidRDefault="00A73BDB">
      <w:pPr>
        <w:spacing w:after="160"/>
      </w:pPr>
      <w:r>
        <w:lastRenderedPageBreak/>
        <w:t>The presenter notes a personal pet peeve: the word "pixel" should not be used to describe seismic samples. A pixel belongs to a camera or video display; a sample belongs to seismic data processing and interpretation. Interpolation between samples (which grows more visually noticeable as a display is zoomed in) can have a significant effect on displayed colors.</w:t>
      </w:r>
    </w:p>
    <w:p w14:paraId="5B3E910C"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t>Classification Data Must Not Be Smoothly Interpolated</w:t>
      </w:r>
    </w:p>
    <w:p w14:paraId="0A4F5214" w14:textId="77777777" w:rsidR="004303B5" w:rsidRDefault="00A73BDB">
      <w:pPr>
        <w:spacing w:after="160"/>
      </w:pPr>
      <w:r>
        <w:t xml:space="preserve">Classification results are inherently blocky by design (for example, 64 buckets from an 8x8 SOM), </w:t>
      </w:r>
      <w:proofErr w:type="gramStart"/>
      <w:r>
        <w:t>similar to</w:t>
      </w:r>
      <w:proofErr w:type="gramEnd"/>
      <w:r>
        <w:t xml:space="preserve"> reducing continuous 32-bit data down to a fixed set of 8-bit buckets. Because of this:</w:t>
      </w:r>
    </w:p>
    <w:p w14:paraId="200C7F24" w14:textId="77777777" w:rsidR="004303B5" w:rsidRDefault="00A73BDB">
      <w:pPr>
        <w:pStyle w:val="ListParagraph"/>
        <w:numPr>
          <w:ilvl w:val="0"/>
          <w:numId w:val="1"/>
        </w:numPr>
        <w:spacing w:after="80"/>
      </w:pPr>
      <w:r>
        <w:t>Smooth color interpolation is appropriate for smooth, continuous data (like raw amplitude).</w:t>
      </w:r>
    </w:p>
    <w:p w14:paraId="1A76528F" w14:textId="77777777" w:rsidR="004303B5" w:rsidRDefault="00A73BDB">
      <w:pPr>
        <w:pStyle w:val="ListParagraph"/>
        <w:numPr>
          <w:ilvl w:val="0"/>
          <w:numId w:val="1"/>
        </w:numPr>
        <w:spacing w:after="80"/>
      </w:pPr>
      <w:r>
        <w:t>Smooth color interpolation is inappropriate for classification data. Interpolating between classification buckets can create false colors that mislead interpretation.</w:t>
      </w:r>
    </w:p>
    <w:p w14:paraId="484A008E" w14:textId="77777777" w:rsidR="004303B5" w:rsidRDefault="00A73BDB">
      <w:pPr>
        <w:pStyle w:val="ListParagraph"/>
        <w:numPr>
          <w:ilvl w:val="0"/>
          <w:numId w:val="1"/>
        </w:numPr>
        <w:spacing w:after="80"/>
      </w:pPr>
      <w:r>
        <w:t>Classification itself should be treated as its own attribute (for example, a "SOM classification" attribute), separate from the original amplitude data it was derived from.</w:t>
      </w:r>
    </w:p>
    <w:p w14:paraId="5A0421CC" w14:textId="77777777" w:rsidR="004303B5" w:rsidRDefault="00A73BDB">
      <w:pPr>
        <w:spacing w:after="160"/>
      </w:pPr>
      <w:r>
        <w:t>An 8x8 hexagonal SOM classification example illustrated this: the neuron topology map (color map) associated with the classification should be shown alongside the classified image, just as a color scale is shown for continuous attribute data. Adjacent colors in the color map (for example, different shades of yellow) indicate winning neurons that are close together in attribute space, while distant colors (for example, yellow versus green) indicate winning neurons that are far apart in attribute space.</w:t>
      </w:r>
    </w:p>
    <w:p w14:paraId="6B91839F"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t>Color Maps vs. Color Bars</w:t>
      </w:r>
    </w:p>
    <w:p w14:paraId="487355E9" w14:textId="77777777" w:rsidR="004303B5" w:rsidRDefault="00A73BDB">
      <w:pPr>
        <w:pStyle w:val="ListParagraph"/>
        <w:numPr>
          <w:ilvl w:val="0"/>
          <w:numId w:val="1"/>
        </w:numPr>
        <w:spacing w:after="80"/>
      </w:pPr>
      <w:r>
        <w:t xml:space="preserve">A </w:t>
      </w:r>
      <w:r>
        <w:rPr>
          <w:b/>
          <w:bCs/>
          <w:color w:val="005563"/>
        </w:rPr>
        <w:t>color bar</w:t>
      </w:r>
      <w:r>
        <w:t xml:space="preserve"> (or color scale) is one-dimensional, appropriate for continuous, single-valued attributes like amplitude.</w:t>
      </w:r>
    </w:p>
    <w:p w14:paraId="0BB39BE5" w14:textId="77777777" w:rsidR="004303B5" w:rsidRDefault="00A73BDB">
      <w:pPr>
        <w:pStyle w:val="ListParagraph"/>
        <w:numPr>
          <w:ilvl w:val="0"/>
          <w:numId w:val="1"/>
        </w:numPr>
        <w:spacing w:after="80"/>
      </w:pPr>
      <w:r>
        <w:t xml:space="preserve">A </w:t>
      </w:r>
      <w:r>
        <w:rPr>
          <w:b/>
          <w:bCs/>
          <w:color w:val="005563"/>
        </w:rPr>
        <w:t>color map</w:t>
      </w:r>
      <w:r>
        <w:t xml:space="preserve"> is two-dimensional, appropriate for classification attributes such as a SOM neuron topology, since it needs to represent the 2D arrangement of neurons.</w:t>
      </w:r>
    </w:p>
    <w:p w14:paraId="04706847" w14:textId="77777777" w:rsidR="004303B5" w:rsidRDefault="00A73BDB">
      <w:pPr>
        <w:pStyle w:val="Heading3"/>
        <w:spacing w:before="240" w:after="100"/>
      </w:pPr>
      <w:r>
        <w:rPr>
          <w:rFonts w:ascii="Noto Sans Semibold" w:eastAsia="Noto Sans Semibold" w:hAnsi="Noto Sans Semibold" w:cs="Noto Sans Semibold"/>
          <w:b/>
          <w:bCs/>
          <w:color w:val="005563"/>
        </w:rPr>
        <w:t>Types of Color Maps</w:t>
      </w:r>
    </w:p>
    <w:tbl>
      <w:tblPr>
        <w:tblW w:w="7735" w:type="dxa"/>
        <w:tblBorders>
          <w:top w:val="single" w:sz="4" w:space="0" w:color="CCCCCC"/>
          <w:left w:val="single" w:sz="4" w:space="0" w:color="CCCCCC"/>
          <w:bottom w:val="single" w:sz="4" w:space="0" w:color="CCCCCC"/>
          <w:right w:val="single" w:sz="4" w:space="0" w:color="CCCCCC"/>
          <w:insideH w:val="single" w:sz="2" w:space="0" w:color="DDDDDD"/>
          <w:insideV w:val="single" w:sz="2" w:space="0" w:color="DDDDDD"/>
        </w:tblBorders>
        <w:tblCellMar>
          <w:left w:w="10" w:type="dxa"/>
          <w:right w:w="10" w:type="dxa"/>
        </w:tblCellMar>
        <w:tblLook w:val="0000" w:firstRow="0" w:lastRow="0" w:firstColumn="0" w:lastColumn="0" w:noHBand="0" w:noVBand="0"/>
      </w:tblPr>
      <w:tblGrid>
        <w:gridCol w:w="3135"/>
        <w:gridCol w:w="4600"/>
      </w:tblGrid>
      <w:tr w:rsidR="004303B5" w14:paraId="32A79DB4" w14:textId="77777777">
        <w:tblPrEx>
          <w:tblCellMar>
            <w:top w:w="0" w:type="dxa"/>
            <w:bottom w:w="0" w:type="dxa"/>
          </w:tblCellMar>
        </w:tblPrEx>
        <w:trPr>
          <w:tblHeader/>
        </w:trPr>
        <w:tc>
          <w:tcPr>
            <w:tcW w:w="3135" w:type="dxa"/>
            <w:shd w:val="clear" w:color="auto" w:fill="005563"/>
            <w:tcMar>
              <w:top w:w="80" w:type="dxa"/>
              <w:left w:w="100" w:type="dxa"/>
              <w:bottom w:w="80" w:type="dxa"/>
              <w:right w:w="100" w:type="dxa"/>
            </w:tcMar>
          </w:tcPr>
          <w:p w14:paraId="675D153A" w14:textId="77777777" w:rsidR="004303B5" w:rsidRDefault="00A73BDB">
            <w:r>
              <w:rPr>
                <w:b/>
                <w:bCs/>
                <w:color w:val="FFFFFF"/>
                <w:sz w:val="20"/>
                <w:szCs w:val="20"/>
              </w:rPr>
              <w:t>Type</w:t>
            </w:r>
          </w:p>
        </w:tc>
        <w:tc>
          <w:tcPr>
            <w:tcW w:w="4600" w:type="dxa"/>
            <w:shd w:val="clear" w:color="auto" w:fill="005563"/>
            <w:tcMar>
              <w:top w:w="80" w:type="dxa"/>
              <w:left w:w="100" w:type="dxa"/>
              <w:bottom w:w="80" w:type="dxa"/>
              <w:right w:w="100" w:type="dxa"/>
            </w:tcMar>
          </w:tcPr>
          <w:p w14:paraId="79043D11" w14:textId="77777777" w:rsidR="004303B5" w:rsidRDefault="00A73BDB">
            <w:r>
              <w:rPr>
                <w:b/>
                <w:bCs/>
                <w:color w:val="FFFFFF"/>
                <w:sz w:val="20"/>
                <w:szCs w:val="20"/>
              </w:rPr>
              <w:t>Purpose</w:t>
            </w:r>
          </w:p>
        </w:tc>
      </w:tr>
      <w:tr w:rsidR="004303B5" w14:paraId="402DF850" w14:textId="77777777">
        <w:tblPrEx>
          <w:tblCellMar>
            <w:top w:w="0" w:type="dxa"/>
            <w:bottom w:w="0" w:type="dxa"/>
          </w:tblCellMar>
        </w:tblPrEx>
        <w:tc>
          <w:tcPr>
            <w:tcW w:w="3135" w:type="dxa"/>
            <w:shd w:val="clear" w:color="auto" w:fill="FFFFFF"/>
            <w:tcMar>
              <w:top w:w="80" w:type="dxa"/>
              <w:left w:w="100" w:type="dxa"/>
              <w:bottom w:w="80" w:type="dxa"/>
              <w:right w:w="100" w:type="dxa"/>
            </w:tcMar>
          </w:tcPr>
          <w:p w14:paraId="6359C4DA" w14:textId="77777777" w:rsidR="004303B5" w:rsidRDefault="00A73BDB">
            <w:r>
              <w:t>Smooth</w:t>
            </w:r>
          </w:p>
        </w:tc>
        <w:tc>
          <w:tcPr>
            <w:tcW w:w="4600" w:type="dxa"/>
            <w:shd w:val="clear" w:color="auto" w:fill="FFFFFF"/>
            <w:tcMar>
              <w:top w:w="80" w:type="dxa"/>
              <w:left w:w="100" w:type="dxa"/>
              <w:bottom w:w="80" w:type="dxa"/>
              <w:right w:w="100" w:type="dxa"/>
            </w:tcMar>
          </w:tcPr>
          <w:p w14:paraId="05E1BD75" w14:textId="77777777" w:rsidR="004303B5" w:rsidRDefault="00A73BDB">
            <w:r>
              <w:t xml:space="preserve">Preserves the relationship that </w:t>
            </w:r>
            <w:proofErr w:type="spellStart"/>
            <w:r>
              <w:t>geobodies</w:t>
            </w:r>
            <w:proofErr w:type="spellEnd"/>
            <w:r>
              <w:t xml:space="preserve"> from adjacent winning neurons are similar in attribute space</w:t>
            </w:r>
          </w:p>
        </w:tc>
      </w:tr>
      <w:tr w:rsidR="004303B5" w14:paraId="43C0A0D1" w14:textId="77777777">
        <w:tblPrEx>
          <w:tblCellMar>
            <w:top w:w="0" w:type="dxa"/>
            <w:bottom w:w="0" w:type="dxa"/>
          </w:tblCellMar>
        </w:tblPrEx>
        <w:tc>
          <w:tcPr>
            <w:tcW w:w="3135" w:type="dxa"/>
            <w:shd w:val="clear" w:color="auto" w:fill="FFFFFF"/>
            <w:tcMar>
              <w:top w:w="80" w:type="dxa"/>
              <w:left w:w="100" w:type="dxa"/>
              <w:bottom w:w="80" w:type="dxa"/>
              <w:right w:w="100" w:type="dxa"/>
            </w:tcMar>
          </w:tcPr>
          <w:p w14:paraId="3E9BE17D" w14:textId="77777777" w:rsidR="004303B5" w:rsidRDefault="00A73BDB">
            <w:r>
              <w:t>Random</w:t>
            </w:r>
          </w:p>
        </w:tc>
        <w:tc>
          <w:tcPr>
            <w:tcW w:w="4600" w:type="dxa"/>
            <w:shd w:val="clear" w:color="auto" w:fill="FFFFFF"/>
            <w:tcMar>
              <w:top w:w="80" w:type="dxa"/>
              <w:left w:w="100" w:type="dxa"/>
              <w:bottom w:w="80" w:type="dxa"/>
              <w:right w:w="100" w:type="dxa"/>
            </w:tcMar>
          </w:tcPr>
          <w:p w14:paraId="7D265CBC" w14:textId="77777777" w:rsidR="004303B5" w:rsidRDefault="00A73BDB">
            <w:r>
              <w:t xml:space="preserve">Maximizes visual contrast between adjacent </w:t>
            </w:r>
            <w:proofErr w:type="spellStart"/>
            <w:r>
              <w:t>geobodies</w:t>
            </w:r>
            <w:proofErr w:type="spellEnd"/>
            <w:r>
              <w:t>, useful for tracking subtle boundaries</w:t>
            </w:r>
          </w:p>
        </w:tc>
      </w:tr>
      <w:tr w:rsidR="004303B5" w14:paraId="1C37D064" w14:textId="77777777">
        <w:tblPrEx>
          <w:tblCellMar>
            <w:top w:w="0" w:type="dxa"/>
            <w:bottom w:w="0" w:type="dxa"/>
          </w:tblCellMar>
        </w:tblPrEx>
        <w:tc>
          <w:tcPr>
            <w:tcW w:w="3135" w:type="dxa"/>
            <w:shd w:val="clear" w:color="auto" w:fill="FFFFFF"/>
            <w:tcMar>
              <w:top w:w="80" w:type="dxa"/>
              <w:left w:w="100" w:type="dxa"/>
              <w:bottom w:w="80" w:type="dxa"/>
              <w:right w:w="100" w:type="dxa"/>
            </w:tcMar>
          </w:tcPr>
          <w:p w14:paraId="4FE649F7" w14:textId="77777777" w:rsidR="004303B5" w:rsidRDefault="00A73BDB">
            <w:r>
              <w:t>Statistical auto-grouping</w:t>
            </w:r>
          </w:p>
        </w:tc>
        <w:tc>
          <w:tcPr>
            <w:tcW w:w="4600" w:type="dxa"/>
            <w:shd w:val="clear" w:color="auto" w:fill="FFFFFF"/>
            <w:tcMar>
              <w:top w:w="80" w:type="dxa"/>
              <w:left w:w="100" w:type="dxa"/>
              <w:bottom w:w="80" w:type="dxa"/>
              <w:right w:w="100" w:type="dxa"/>
            </w:tcMar>
          </w:tcPr>
          <w:p w14:paraId="50B072FA" w14:textId="77777777" w:rsidR="004303B5" w:rsidRDefault="00A73BDB">
            <w:r>
              <w:t>A form of reclassification, grouping neurons whose statistical properties are similar</w:t>
            </w:r>
          </w:p>
        </w:tc>
      </w:tr>
      <w:tr w:rsidR="004303B5" w14:paraId="6ED5C3B3" w14:textId="77777777">
        <w:tblPrEx>
          <w:tblCellMar>
            <w:top w:w="0" w:type="dxa"/>
            <w:bottom w:w="0" w:type="dxa"/>
          </w:tblCellMar>
        </w:tblPrEx>
        <w:tc>
          <w:tcPr>
            <w:tcW w:w="3135" w:type="dxa"/>
            <w:shd w:val="clear" w:color="auto" w:fill="FFFFFF"/>
            <w:tcMar>
              <w:top w:w="80" w:type="dxa"/>
              <w:left w:w="100" w:type="dxa"/>
              <w:bottom w:w="80" w:type="dxa"/>
              <w:right w:w="100" w:type="dxa"/>
            </w:tcMar>
          </w:tcPr>
          <w:p w14:paraId="24425190" w14:textId="77777777" w:rsidR="004303B5" w:rsidRDefault="00A73BDB">
            <w:r>
              <w:t>Scaled properties</w:t>
            </w:r>
          </w:p>
        </w:tc>
        <w:tc>
          <w:tcPr>
            <w:tcW w:w="4600" w:type="dxa"/>
            <w:shd w:val="clear" w:color="auto" w:fill="FFFFFF"/>
            <w:tcMar>
              <w:top w:w="80" w:type="dxa"/>
              <w:left w:w="100" w:type="dxa"/>
              <w:bottom w:w="80" w:type="dxa"/>
              <w:right w:w="100" w:type="dxa"/>
            </w:tcMar>
          </w:tcPr>
          <w:p w14:paraId="1F3FD4DC" w14:textId="77777777" w:rsidR="004303B5" w:rsidRDefault="00A73BDB">
            <w:r>
              <w:t>Colors the neuron topology map by a scale value, such as sample count per neuron</w:t>
            </w:r>
          </w:p>
        </w:tc>
      </w:tr>
    </w:tbl>
    <w:p w14:paraId="19C1AAAF" w14:textId="77777777" w:rsidR="004303B5" w:rsidRDefault="004303B5">
      <w:pPr>
        <w:spacing w:after="200"/>
      </w:pPr>
    </w:p>
    <w:p w14:paraId="35BDAA68"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lastRenderedPageBreak/>
        <w:t>Best-Practice Rules</w:t>
      </w:r>
    </w:p>
    <w:p w14:paraId="483F1F6A" w14:textId="77777777" w:rsidR="004303B5" w:rsidRDefault="00A73BDB">
      <w:pPr>
        <w:pStyle w:val="ListParagraph"/>
        <w:numPr>
          <w:ilvl w:val="0"/>
          <w:numId w:val="2"/>
        </w:numPr>
        <w:spacing w:after="80"/>
      </w:pPr>
      <w:r>
        <w:t>Always display the relevant color bar (for continuous data) or color map (for classification data) alongside any seismic image. Never clip it off.</w:t>
      </w:r>
    </w:p>
    <w:p w14:paraId="38A4F1DC" w14:textId="77777777" w:rsidR="004303B5" w:rsidRDefault="00A73BDB">
      <w:pPr>
        <w:pStyle w:val="ListParagraph"/>
        <w:numPr>
          <w:ilvl w:val="0"/>
          <w:numId w:val="2"/>
        </w:numPr>
        <w:spacing w:after="80"/>
      </w:pPr>
      <w:r>
        <w:t>Never draw machine learning classification images using smooth color interpolation. A smooth color map itself is acceptable, but interpolating colors between classification blocks is not; each classification block should be drawn in its own unique, unblended color.</w:t>
      </w:r>
    </w:p>
    <w:p w14:paraId="2ADF6249" w14:textId="77777777" w:rsidR="004303B5" w:rsidRDefault="00A73BDB">
      <w:pPr>
        <w:pStyle w:val="ListParagraph"/>
        <w:numPr>
          <w:ilvl w:val="0"/>
          <w:numId w:val="2"/>
        </w:numPr>
        <w:spacing w:after="80"/>
      </w:pPr>
      <w:r>
        <w:t>For a 2D neuron topology, the display should be accompanied by its corresponding 2D color map.</w:t>
      </w:r>
    </w:p>
    <w:p w14:paraId="56CA4A6F" w14:textId="77777777" w:rsidR="004303B5" w:rsidRDefault="00A73BDB">
      <w:pPr>
        <w:pStyle w:val="ListParagraph"/>
        <w:numPr>
          <w:ilvl w:val="0"/>
          <w:numId w:val="2"/>
        </w:numPr>
        <w:spacing w:after="80"/>
      </w:pPr>
      <w:r>
        <w:t>A different, custom color map can be substituted so long as it preserves the same number of distinct colors as there are neurons.</w:t>
      </w:r>
    </w:p>
    <w:p w14:paraId="29965BD8" w14:textId="77777777" w:rsidR="004303B5" w:rsidRDefault="00A73BDB">
      <w:pPr>
        <w:pStyle w:val="ListParagraph"/>
        <w:numPr>
          <w:ilvl w:val="0"/>
          <w:numId w:val="2"/>
        </w:numPr>
        <w:spacing w:after="80"/>
      </w:pPr>
      <w:r>
        <w:t xml:space="preserve">Regions of natural </w:t>
      </w:r>
      <w:proofErr w:type="gramStart"/>
      <w:r>
        <w:t>clusters in</w:t>
      </w:r>
      <w:proofErr w:type="gramEnd"/>
      <w:r>
        <w:t xml:space="preserve"> attribute space correspond to regions of the color map, and geologic features are often revealed by adjacent winning neurons.</w:t>
      </w:r>
    </w:p>
    <w:p w14:paraId="084E26F1" w14:textId="77777777" w:rsidR="004303B5" w:rsidRDefault="00A73BDB">
      <w:pPr>
        <w:pStyle w:val="Heading2"/>
        <w:spacing w:before="320" w:after="140"/>
      </w:pPr>
      <w:r>
        <w:rPr>
          <w:rFonts w:ascii="Noto Sans Semibold" w:eastAsia="Noto Sans Semibold" w:hAnsi="Noto Sans Semibold" w:cs="Noto Sans Semibold"/>
          <w:b/>
          <w:bCs/>
          <w:color w:val="0080A8"/>
          <w:sz w:val="30"/>
          <w:szCs w:val="30"/>
        </w:rPr>
        <w:t>Summary</w:t>
      </w:r>
    </w:p>
    <w:p w14:paraId="3938AB3E" w14:textId="77777777" w:rsidR="004303B5" w:rsidRDefault="00A73BDB">
      <w:pPr>
        <w:spacing w:after="160"/>
      </w:pPr>
      <w:r>
        <w:t xml:space="preserve">Reclassifying an already-classified dataset can help refine interpretation. Color maps are two-dimensional, while color bars are one-dimensional. Displaying any classification attribute is special in two ways: classifications are inherently blocky, and the use of a proper color map is necessary. Because classifications are blocky, interpolated displays can introduce misleading artifacts, and </w:t>
      </w:r>
      <w:proofErr w:type="spellStart"/>
      <w:r>
        <w:t>geobodies</w:t>
      </w:r>
      <w:proofErr w:type="spellEnd"/>
      <w:r>
        <w:t xml:space="preserve"> represented by adjacent winning neurons cannot be properly discovered using a simple linear color scale. Different types of color maps assist with SOM neuron identification and grouping, and geologic features are often revealed by adjacent winning neurons in a color map.</w:t>
      </w:r>
    </w:p>
    <w:sectPr w:rsidR="004303B5">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3A2B" w14:textId="77777777" w:rsidR="00A73BDB" w:rsidRDefault="00A73BDB">
      <w:r>
        <w:separator/>
      </w:r>
    </w:p>
  </w:endnote>
  <w:endnote w:type="continuationSeparator" w:id="0">
    <w:p w14:paraId="22EE4865" w14:textId="77777777" w:rsidR="00A73BDB" w:rsidRDefault="00A7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9CE2" w14:textId="77777777" w:rsidR="004303B5" w:rsidRDefault="00A73BDB">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2C5F25">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A7BD1" w14:textId="77777777" w:rsidR="00A73BDB" w:rsidRDefault="00A73BDB">
      <w:r>
        <w:separator/>
      </w:r>
    </w:p>
  </w:footnote>
  <w:footnote w:type="continuationSeparator" w:id="0">
    <w:p w14:paraId="209D2493" w14:textId="77777777" w:rsidR="00A73BDB" w:rsidRDefault="00A73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4EEB" w14:textId="77777777" w:rsidR="004303B5" w:rsidRDefault="00A73BDB">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2210"/>
    <w:multiLevelType w:val="hybridMultilevel"/>
    <w:tmpl w:val="EE30325A"/>
    <w:lvl w:ilvl="0" w:tplc="1B12F58C">
      <w:start w:val="1"/>
      <w:numFmt w:val="bullet"/>
      <w:lvlText w:val="●"/>
      <w:lvlJc w:val="left"/>
      <w:pPr>
        <w:ind w:left="720" w:hanging="360"/>
      </w:pPr>
    </w:lvl>
    <w:lvl w:ilvl="1" w:tplc="BCEE6BD6">
      <w:start w:val="1"/>
      <w:numFmt w:val="bullet"/>
      <w:lvlText w:val="○"/>
      <w:lvlJc w:val="left"/>
      <w:pPr>
        <w:ind w:left="1440" w:hanging="360"/>
      </w:pPr>
    </w:lvl>
    <w:lvl w:ilvl="2" w:tplc="4838FDF8">
      <w:start w:val="1"/>
      <w:numFmt w:val="bullet"/>
      <w:lvlText w:val="■"/>
      <w:lvlJc w:val="left"/>
      <w:pPr>
        <w:ind w:left="2160" w:hanging="360"/>
      </w:pPr>
    </w:lvl>
    <w:lvl w:ilvl="3" w:tplc="A502A8B0">
      <w:start w:val="1"/>
      <w:numFmt w:val="bullet"/>
      <w:lvlText w:val="●"/>
      <w:lvlJc w:val="left"/>
      <w:pPr>
        <w:ind w:left="2880" w:hanging="360"/>
      </w:pPr>
    </w:lvl>
    <w:lvl w:ilvl="4" w:tplc="1CCC2826">
      <w:start w:val="1"/>
      <w:numFmt w:val="bullet"/>
      <w:lvlText w:val="○"/>
      <w:lvlJc w:val="left"/>
      <w:pPr>
        <w:ind w:left="3600" w:hanging="360"/>
      </w:pPr>
    </w:lvl>
    <w:lvl w:ilvl="5" w:tplc="ACEC8888">
      <w:start w:val="1"/>
      <w:numFmt w:val="bullet"/>
      <w:lvlText w:val="■"/>
      <w:lvlJc w:val="left"/>
      <w:pPr>
        <w:ind w:left="4320" w:hanging="360"/>
      </w:pPr>
    </w:lvl>
    <w:lvl w:ilvl="6" w:tplc="5F583A06">
      <w:start w:val="1"/>
      <w:numFmt w:val="bullet"/>
      <w:lvlText w:val="●"/>
      <w:lvlJc w:val="left"/>
      <w:pPr>
        <w:ind w:left="5040" w:hanging="360"/>
      </w:pPr>
    </w:lvl>
    <w:lvl w:ilvl="7" w:tplc="8522F754">
      <w:start w:val="1"/>
      <w:numFmt w:val="bullet"/>
      <w:lvlText w:val="●"/>
      <w:lvlJc w:val="left"/>
      <w:pPr>
        <w:ind w:left="5760" w:hanging="360"/>
      </w:pPr>
    </w:lvl>
    <w:lvl w:ilvl="8" w:tplc="03FA02D4">
      <w:start w:val="1"/>
      <w:numFmt w:val="bullet"/>
      <w:lvlText w:val="●"/>
      <w:lvlJc w:val="left"/>
      <w:pPr>
        <w:ind w:left="6480" w:hanging="360"/>
      </w:pPr>
    </w:lvl>
  </w:abstractNum>
  <w:abstractNum w:abstractNumId="1" w15:restartNumberingAfterBreak="0">
    <w:nsid w:val="3C472BB9"/>
    <w:multiLevelType w:val="hybridMultilevel"/>
    <w:tmpl w:val="3822C8EA"/>
    <w:lvl w:ilvl="0" w:tplc="316EC29C">
      <w:start w:val="1"/>
      <w:numFmt w:val="decimal"/>
      <w:lvlText w:val="%1."/>
      <w:lvlJc w:val="left"/>
      <w:pPr>
        <w:ind w:left="460" w:hanging="260"/>
      </w:pPr>
    </w:lvl>
    <w:lvl w:ilvl="1" w:tplc="79CC16F2">
      <w:numFmt w:val="decimal"/>
      <w:lvlText w:val=""/>
      <w:lvlJc w:val="left"/>
    </w:lvl>
    <w:lvl w:ilvl="2" w:tplc="C7BAE034">
      <w:numFmt w:val="decimal"/>
      <w:lvlText w:val=""/>
      <w:lvlJc w:val="left"/>
    </w:lvl>
    <w:lvl w:ilvl="3" w:tplc="BA4438A2">
      <w:numFmt w:val="decimal"/>
      <w:lvlText w:val=""/>
      <w:lvlJc w:val="left"/>
    </w:lvl>
    <w:lvl w:ilvl="4" w:tplc="0CDCD4B2">
      <w:numFmt w:val="decimal"/>
      <w:lvlText w:val=""/>
      <w:lvlJc w:val="left"/>
    </w:lvl>
    <w:lvl w:ilvl="5" w:tplc="4D38DFC2">
      <w:numFmt w:val="decimal"/>
      <w:lvlText w:val=""/>
      <w:lvlJc w:val="left"/>
    </w:lvl>
    <w:lvl w:ilvl="6" w:tplc="C3E8152E">
      <w:numFmt w:val="decimal"/>
      <w:lvlText w:val=""/>
      <w:lvlJc w:val="left"/>
    </w:lvl>
    <w:lvl w:ilvl="7" w:tplc="DD0E18E4">
      <w:numFmt w:val="decimal"/>
      <w:lvlText w:val=""/>
      <w:lvlJc w:val="left"/>
    </w:lvl>
    <w:lvl w:ilvl="8" w:tplc="2AC41D80">
      <w:numFmt w:val="decimal"/>
      <w:lvlText w:val=""/>
      <w:lvlJc w:val="left"/>
    </w:lvl>
  </w:abstractNum>
  <w:num w:numId="1" w16cid:durableId="877549998">
    <w:abstractNumId w:val="0"/>
    <w:lvlOverride w:ilvl="0">
      <w:startOverride w:val="1"/>
    </w:lvlOverride>
  </w:num>
  <w:num w:numId="2" w16cid:durableId="9318140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3B5"/>
    <w:rsid w:val="000B1CE4"/>
    <w:rsid w:val="002C5F25"/>
    <w:rsid w:val="004303B5"/>
    <w:rsid w:val="00A73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7810"/>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5F6803-94BD-4B90-81F8-4E6AFE5B047B}"/>
</file>

<file path=customXml/itemProps2.xml><?xml version="1.0" encoding="utf-8"?>
<ds:datastoreItem xmlns:ds="http://schemas.openxmlformats.org/officeDocument/2006/customXml" ds:itemID="{664CF11F-14C3-44BD-A6DA-536B746D8D82}"/>
</file>

<file path=customXml/itemProps3.xml><?xml version="1.0" encoding="utf-8"?>
<ds:datastoreItem xmlns:ds="http://schemas.openxmlformats.org/officeDocument/2006/customXml" ds:itemID="{DE18DBF9-D713-4FEB-BEDE-8092C5DB04A2}"/>
</file>

<file path=docProps/app.xml><?xml version="1.0" encoding="utf-8"?>
<Properties xmlns="http://schemas.openxmlformats.org/officeDocument/2006/extended-properties" xmlns:vt="http://schemas.openxmlformats.org/officeDocument/2006/docPropsVTypes">
  <Template>Normal.dotm</Template>
  <TotalTime>1</TotalTime>
  <Pages>5</Pages>
  <Words>1379</Words>
  <Characters>7862</Characters>
  <Application>Microsoft Office Word</Application>
  <DocSecurity>0</DocSecurity>
  <Lines>65</Lines>
  <Paragraphs>18</Paragraphs>
  <ScaleCrop>false</ScaleCrop>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2026-08-04T20:44:00Z</dcterms:created>
  <dcterms:modified xsi:type="dcterms:W3CDTF">2026-08-04T20:44:00Z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